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44B1D326" w:rsidR="00F72F4F" w:rsidRDefault="00D663A3" w:rsidP="00F72F4F">
      <w:pPr>
        <w:pStyle w:val="CH"/>
      </w:pPr>
      <w:bookmarkStart w:id="0" w:name="historyclause"/>
      <w:r w:rsidRPr="00D663A3">
        <w:rPr>
          <w:lang w:val="en-GB"/>
        </w:rPr>
        <w:t>3GPP TSG RAN Meeting #98</w:t>
      </w:r>
      <w:r>
        <w:rPr>
          <w:lang w:val="en-GB"/>
        </w:rPr>
        <w:t>-e</w:t>
      </w:r>
      <w:r w:rsidR="00F72F4F">
        <w:tab/>
      </w:r>
      <w:r w:rsidR="00F72F4F">
        <w:tab/>
      </w:r>
      <w:r w:rsidR="009A5BBC" w:rsidRPr="009A5BBC">
        <w:t>RP-223361</w:t>
      </w:r>
    </w:p>
    <w:p w14:paraId="4A8CACC6" w14:textId="2F1C2A64" w:rsidR="00F72F4F" w:rsidRPr="00FD166F" w:rsidRDefault="00D663A3" w:rsidP="00F72F4F">
      <w:pPr>
        <w:pStyle w:val="CH"/>
        <w:tabs>
          <w:tab w:val="clear" w:pos="7920"/>
        </w:tabs>
        <w:rPr>
          <w:b w:val="0"/>
        </w:rPr>
      </w:pPr>
      <w:r>
        <w:t>Online meeting</w:t>
      </w:r>
      <w:r w:rsidR="00B42AB8">
        <w:t xml:space="preserve">, </w:t>
      </w:r>
      <w:r>
        <w:t>December</w:t>
      </w:r>
      <w:r w:rsidR="00B42AB8" w:rsidRPr="00A14D3F">
        <w:t xml:space="preserve"> </w:t>
      </w:r>
      <w:r w:rsidR="00B42AB8">
        <w:t>1</w:t>
      </w:r>
      <w:r>
        <w:t>2</w:t>
      </w:r>
      <w:r w:rsidR="00B42AB8">
        <w:rPr>
          <w:vertAlign w:val="superscript"/>
        </w:rPr>
        <w:t>th</w:t>
      </w:r>
      <w:r w:rsidR="00B42AB8" w:rsidRPr="00A14D3F">
        <w:t xml:space="preserve"> – </w:t>
      </w:r>
      <w:r w:rsidR="00B42AB8">
        <w:t>1</w:t>
      </w:r>
      <w:r>
        <w:t>6</w:t>
      </w:r>
      <w:r w:rsidR="00B42AB8">
        <w:rPr>
          <w:vertAlign w:val="superscript"/>
        </w:rPr>
        <w:t>th</w:t>
      </w:r>
      <w:r w:rsidR="00B42AB8" w:rsidRPr="00A14D3F">
        <w:t>, 202</w:t>
      </w:r>
      <w:r w:rsidR="00B42AB8">
        <w:t>2</w:t>
      </w:r>
    </w:p>
    <w:p w14:paraId="39A0EE25" w14:textId="77777777" w:rsidR="00D309CC" w:rsidRDefault="00D309CC" w:rsidP="00D309CC">
      <w:pPr>
        <w:tabs>
          <w:tab w:val="left" w:pos="2160"/>
        </w:tabs>
        <w:rPr>
          <w:rFonts w:ascii="Arial" w:hAnsi="Arial" w:cs="Arial"/>
          <w:b/>
        </w:rPr>
      </w:pPr>
    </w:p>
    <w:p w14:paraId="6DDCE159" w14:textId="76581A1D" w:rsidR="00D309CC" w:rsidRPr="0008103A" w:rsidRDefault="00D309CC" w:rsidP="00D309CC">
      <w:pPr>
        <w:pStyle w:val="CH"/>
        <w:rPr>
          <w:b w:val="0"/>
        </w:rPr>
      </w:pPr>
      <w:r w:rsidRPr="0008103A">
        <w:t>Agenda item:</w:t>
      </w:r>
      <w:r>
        <w:tab/>
      </w:r>
      <w:r w:rsidR="00D663A3">
        <w:t>9</w:t>
      </w:r>
      <w:r w:rsidR="00F26A01">
        <w:t>.1.</w:t>
      </w:r>
      <w:r w:rsidR="00D663A3">
        <w:t>5</w:t>
      </w:r>
    </w:p>
    <w:p w14:paraId="4DBE005A" w14:textId="4DFA2DBD" w:rsidR="00D309CC" w:rsidRPr="0008103A" w:rsidRDefault="00D309CC" w:rsidP="00D309CC">
      <w:pPr>
        <w:pStyle w:val="CH"/>
        <w:rPr>
          <w:b w:val="0"/>
        </w:rPr>
      </w:pPr>
      <w:r>
        <w:t>Source:</w:t>
      </w:r>
      <w:r>
        <w:tab/>
        <w:t>Apple</w:t>
      </w:r>
    </w:p>
    <w:p w14:paraId="0D2061A1" w14:textId="4BDFDC71" w:rsidR="00D309CC" w:rsidRDefault="00D309CC" w:rsidP="00D309CC">
      <w:pPr>
        <w:pStyle w:val="CH"/>
      </w:pPr>
      <w:r w:rsidRPr="0008103A">
        <w:t>Title:</w:t>
      </w:r>
      <w:r w:rsidRPr="0008103A">
        <w:tab/>
      </w:r>
      <w:r w:rsidR="00D663A3">
        <w:t>Motivation for HPUE with simultaneous 2Tx and 3Tx</w:t>
      </w:r>
      <w:r w:rsidR="00D603CA">
        <w:t xml:space="preserve"> </w:t>
      </w:r>
      <w:r w:rsidR="00AC0150">
        <w:t xml:space="preserve"> </w:t>
      </w:r>
    </w:p>
    <w:p w14:paraId="052B1E0C" w14:textId="45BB75C1" w:rsidR="00104BC6" w:rsidRDefault="00104BC6" w:rsidP="00D309CC">
      <w:pPr>
        <w:pStyle w:val="CH"/>
      </w:pPr>
      <w:r>
        <w:t>WI/SI:</w:t>
      </w:r>
      <w:r>
        <w:tab/>
      </w:r>
      <w:r w:rsidR="00D663A3">
        <w:t xml:space="preserve">New WI </w:t>
      </w:r>
    </w:p>
    <w:p w14:paraId="6C6D1281" w14:textId="7D64A10E" w:rsidR="00104BC6" w:rsidRDefault="00104BC6" w:rsidP="00D309CC">
      <w:pPr>
        <w:pStyle w:val="CH"/>
        <w:rPr>
          <w:b w:val="0"/>
        </w:rPr>
      </w:pPr>
      <w:r>
        <w:t>Release:</w:t>
      </w:r>
      <w:r>
        <w:tab/>
      </w:r>
      <w:r w:rsidRPr="00261B7C">
        <w:t>Rel-</w:t>
      </w:r>
      <w:r w:rsidR="00261B7C">
        <w:t>1</w:t>
      </w:r>
      <w:r w:rsidR="001A6141">
        <w:t>8</w:t>
      </w:r>
    </w:p>
    <w:p w14:paraId="0207DB43" w14:textId="40E7EFE5" w:rsidR="00D46431" w:rsidRPr="0093313C" w:rsidRDefault="00D309CC" w:rsidP="00D309CC">
      <w:pPr>
        <w:pStyle w:val="CH"/>
      </w:pPr>
      <w:r>
        <w:t>Document for:</w:t>
      </w:r>
      <w:r>
        <w:tab/>
      </w:r>
      <w:r w:rsidR="000F3686">
        <w:t>Approval</w:t>
      </w:r>
    </w:p>
    <w:p w14:paraId="5AB2C4CE" w14:textId="1734F79E" w:rsidR="00A75621" w:rsidRPr="00A75621" w:rsidRDefault="008E7986" w:rsidP="0093313C">
      <w:pPr>
        <w:pStyle w:val="Heading1"/>
        <w:spacing w:after="120"/>
        <w:ind w:left="1138" w:hanging="1138"/>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7480E136" w14:textId="5A94CB22" w:rsidR="000E0695" w:rsidRDefault="00D663A3" w:rsidP="000E0695">
      <w:pPr>
        <w:spacing w:after="120"/>
        <w:jc w:val="both"/>
        <w:rPr>
          <w:rFonts w:ascii="Arial" w:hAnsi="Arial" w:cs="Arial"/>
          <w:sz w:val="20"/>
          <w:szCs w:val="20"/>
        </w:rPr>
      </w:pPr>
      <w:r w:rsidRPr="00D663A3">
        <w:rPr>
          <w:rFonts w:ascii="Arial" w:hAnsi="Arial" w:cs="Arial"/>
          <w:sz w:val="20"/>
          <w:szCs w:val="20"/>
          <w:lang w:val="en-GB"/>
        </w:rPr>
        <w:t>Ever since the introduction of high-power UE (HPUE) in E-UTRA with the intent on improving UE UL coverage, the feature has prevailed into nearly all major E-UTRA and NR TDD bands with maximum output power up to 29 dBm, also known as power class 1.5 (PC1.5). With the increasing demand in UE UL coverage, the feature is further extended to NR</w:t>
      </w:r>
      <w:r>
        <w:rPr>
          <w:rFonts w:ascii="Arial" w:hAnsi="Arial" w:cs="Arial"/>
          <w:sz w:val="20"/>
          <w:szCs w:val="20"/>
          <w:lang w:val="en-GB"/>
        </w:rPr>
        <w:t xml:space="preserve"> FDD bands, </w:t>
      </w:r>
      <w:r w:rsidRPr="00D663A3">
        <w:rPr>
          <w:rFonts w:ascii="Arial" w:hAnsi="Arial" w:cs="Arial"/>
          <w:sz w:val="20"/>
          <w:szCs w:val="20"/>
          <w:lang w:val="en-GB"/>
        </w:rPr>
        <w:t>inter-band EN-DC</w:t>
      </w:r>
      <w:r>
        <w:rPr>
          <w:rFonts w:ascii="Arial" w:hAnsi="Arial" w:cs="Arial"/>
          <w:sz w:val="20"/>
          <w:szCs w:val="20"/>
          <w:lang w:val="en-GB"/>
        </w:rPr>
        <w:t>,</w:t>
      </w:r>
      <w:r w:rsidRPr="00D663A3">
        <w:rPr>
          <w:rFonts w:ascii="Arial" w:hAnsi="Arial" w:cs="Arial"/>
          <w:sz w:val="20"/>
          <w:szCs w:val="20"/>
          <w:lang w:val="en-GB"/>
        </w:rPr>
        <w:t xml:space="preserve"> </w:t>
      </w:r>
      <w:r>
        <w:rPr>
          <w:rFonts w:ascii="Arial" w:hAnsi="Arial" w:cs="Arial"/>
          <w:sz w:val="20"/>
          <w:szCs w:val="20"/>
          <w:lang w:val="en-GB"/>
        </w:rPr>
        <w:t>and NR</w:t>
      </w:r>
      <w:r w:rsidRPr="00D663A3">
        <w:rPr>
          <w:rFonts w:ascii="Arial" w:hAnsi="Arial" w:cs="Arial"/>
          <w:sz w:val="20"/>
          <w:szCs w:val="20"/>
          <w:lang w:val="en-GB"/>
        </w:rPr>
        <w:t xml:space="preserve"> inter-band UL CA. In Rel-17, a new feature “increasing UE power high limit” for inter-band UL CA and DC was further introduced to leverage the per-band maximum output power capability such that the maximum total output power can be higher than power class 2 (PC2) nominal output power at 26 dBm</w:t>
      </w:r>
      <w:r>
        <w:rPr>
          <w:rFonts w:ascii="Arial" w:hAnsi="Arial" w:cs="Arial"/>
          <w:sz w:val="20"/>
          <w:szCs w:val="20"/>
          <w:lang w:val="en-GB"/>
        </w:rPr>
        <w:t xml:space="preserve"> [1]</w:t>
      </w:r>
      <w:r w:rsidRPr="00D663A3">
        <w:rPr>
          <w:rFonts w:ascii="Arial" w:hAnsi="Arial" w:cs="Arial"/>
          <w:sz w:val="20"/>
          <w:szCs w:val="20"/>
          <w:lang w:val="en-GB"/>
        </w:rPr>
        <w:t>. However, for inter-band UL CA and DC, the HPUE feature has only been specified up to PC2, despite PC1.5 has already been introduced for single UL TDD band since Rel-16</w:t>
      </w:r>
      <w:r w:rsidR="00C811AE">
        <w:rPr>
          <w:rFonts w:ascii="Arial" w:hAnsi="Arial" w:cs="Arial"/>
          <w:sz w:val="20"/>
          <w:szCs w:val="20"/>
        </w:rPr>
        <w:t>.</w:t>
      </w:r>
      <w:r w:rsidR="0048483C">
        <w:rPr>
          <w:rFonts w:ascii="Arial" w:hAnsi="Arial" w:cs="Arial"/>
          <w:sz w:val="20"/>
          <w:szCs w:val="20"/>
        </w:rPr>
        <w:t xml:space="preserve"> Without the introduction of PC1.5 for inter-band UL CA and DC, it would not be applicable to extend the </w:t>
      </w:r>
      <w:r w:rsidR="0048483C" w:rsidRPr="00D663A3">
        <w:rPr>
          <w:rFonts w:ascii="Arial" w:hAnsi="Arial" w:cs="Arial"/>
          <w:sz w:val="20"/>
          <w:szCs w:val="20"/>
          <w:lang w:val="en-GB"/>
        </w:rPr>
        <w:t>“increasing UE power high limit”</w:t>
      </w:r>
      <w:r w:rsidR="0048483C">
        <w:rPr>
          <w:rFonts w:ascii="Arial" w:hAnsi="Arial" w:cs="Arial"/>
          <w:sz w:val="20"/>
          <w:szCs w:val="20"/>
          <w:lang w:val="en-GB"/>
        </w:rPr>
        <w:t xml:space="preserve"> feature for PC1.5 HPUE to further enhance the coverage of </w:t>
      </w:r>
      <w:r w:rsidR="00FF17F2">
        <w:rPr>
          <w:rFonts w:ascii="Arial" w:hAnsi="Arial" w:cs="Arial"/>
          <w:sz w:val="20"/>
          <w:szCs w:val="20"/>
          <w:lang w:val="en-GB"/>
        </w:rPr>
        <w:t>inter-band UL combinations.</w:t>
      </w:r>
      <w:r w:rsidR="0048483C">
        <w:rPr>
          <w:rFonts w:ascii="Arial" w:hAnsi="Arial" w:cs="Arial"/>
          <w:sz w:val="20"/>
          <w:szCs w:val="20"/>
          <w:lang w:val="en-GB"/>
        </w:rPr>
        <w:t xml:space="preserve"> </w:t>
      </w:r>
      <w:r w:rsidR="0048483C">
        <w:rPr>
          <w:rFonts w:ascii="Arial" w:hAnsi="Arial" w:cs="Arial"/>
          <w:sz w:val="20"/>
          <w:szCs w:val="20"/>
        </w:rPr>
        <w:t xml:space="preserve"> </w:t>
      </w:r>
      <w:r w:rsidR="00D41B07">
        <w:rPr>
          <w:rFonts w:ascii="Arial" w:hAnsi="Arial" w:cs="Arial"/>
          <w:sz w:val="20"/>
          <w:szCs w:val="20"/>
        </w:rPr>
        <w:t xml:space="preserve"> </w:t>
      </w:r>
      <w:r w:rsidR="001C64E9">
        <w:rPr>
          <w:rFonts w:ascii="Arial" w:hAnsi="Arial" w:cs="Arial"/>
          <w:sz w:val="20"/>
          <w:szCs w:val="20"/>
        </w:rPr>
        <w:t xml:space="preserve">  </w:t>
      </w:r>
    </w:p>
    <w:p w14:paraId="714A4D50" w14:textId="77777777" w:rsidR="000E0695" w:rsidRDefault="000E0695" w:rsidP="00A75621">
      <w:pPr>
        <w:jc w:val="both"/>
        <w:rPr>
          <w:rFonts w:ascii="Arial" w:hAnsi="Arial" w:cs="Arial"/>
          <w:sz w:val="20"/>
          <w:szCs w:val="20"/>
        </w:rPr>
      </w:pPr>
    </w:p>
    <w:p w14:paraId="1D71D5ED" w14:textId="41B0147B" w:rsidR="000E0695" w:rsidRDefault="00FF17F2" w:rsidP="00FA631A">
      <w:pPr>
        <w:spacing w:after="120"/>
        <w:jc w:val="both"/>
        <w:rPr>
          <w:rFonts w:ascii="Arial" w:hAnsi="Arial" w:cs="Arial"/>
          <w:sz w:val="20"/>
          <w:szCs w:val="20"/>
        </w:rPr>
      </w:pPr>
      <w:r w:rsidRPr="00FF17F2">
        <w:rPr>
          <w:rFonts w:ascii="Arial" w:hAnsi="Arial" w:cs="Arial"/>
          <w:sz w:val="20"/>
          <w:szCs w:val="20"/>
          <w:lang w:val="en-GB"/>
        </w:rPr>
        <w:t>Considering that many existing UEs are already hardware capable of supporting PC2+PC2 in TDD+TDD band combinations, such as CA_n41</w:t>
      </w:r>
      <w:r w:rsidR="008447C6">
        <w:rPr>
          <w:rFonts w:ascii="Arial" w:hAnsi="Arial" w:cs="Arial"/>
          <w:sz w:val="20"/>
          <w:szCs w:val="20"/>
          <w:lang w:val="en-GB"/>
        </w:rPr>
        <w:t>A</w:t>
      </w:r>
      <w:r w:rsidRPr="00FF17F2">
        <w:rPr>
          <w:rFonts w:ascii="Arial" w:hAnsi="Arial" w:cs="Arial"/>
          <w:sz w:val="20"/>
          <w:szCs w:val="20"/>
          <w:lang w:val="en-GB"/>
        </w:rPr>
        <w:t>-n77</w:t>
      </w:r>
      <w:r w:rsidR="008447C6">
        <w:rPr>
          <w:rFonts w:ascii="Arial" w:hAnsi="Arial" w:cs="Arial"/>
          <w:sz w:val="20"/>
          <w:szCs w:val="20"/>
          <w:lang w:val="en-GB"/>
        </w:rPr>
        <w:t>A</w:t>
      </w:r>
      <w:r w:rsidR="00615B1C">
        <w:rPr>
          <w:rFonts w:ascii="Arial" w:hAnsi="Arial" w:cs="Arial"/>
          <w:sz w:val="20"/>
          <w:szCs w:val="20"/>
          <w:lang w:val="en-GB"/>
        </w:rPr>
        <w:t>,</w:t>
      </w:r>
      <w:r w:rsidRPr="00FF17F2">
        <w:rPr>
          <w:rFonts w:ascii="Arial" w:hAnsi="Arial" w:cs="Arial"/>
          <w:sz w:val="20"/>
          <w:szCs w:val="20"/>
          <w:lang w:val="en-GB"/>
        </w:rPr>
        <w:t xml:space="preserve"> introducing PC1.5 for inter-band UL CA and DC shall be proceeded sooner than later in order to fully appreciate the benefit of HPUE</w:t>
      </w:r>
      <w:r w:rsidR="000E0695">
        <w:rPr>
          <w:rFonts w:ascii="Arial" w:hAnsi="Arial" w:cs="Arial"/>
          <w:sz w:val="20"/>
          <w:szCs w:val="20"/>
        </w:rPr>
        <w:t>.</w:t>
      </w:r>
      <w:r>
        <w:rPr>
          <w:rFonts w:ascii="Arial" w:hAnsi="Arial" w:cs="Arial"/>
          <w:sz w:val="20"/>
          <w:szCs w:val="20"/>
        </w:rPr>
        <w:t xml:space="preserve"> </w:t>
      </w:r>
      <w:r w:rsidRPr="00FF17F2">
        <w:rPr>
          <w:rFonts w:ascii="Arial" w:hAnsi="Arial" w:cs="Arial"/>
          <w:sz w:val="20"/>
          <w:szCs w:val="20"/>
          <w:lang w:val="en-GB"/>
        </w:rPr>
        <w:t>In addition, many existing UEs are also already hardware capable of supporting inter-band combinations with simultaneous 1Tx transmission in one band (TDD or FDD) and 2Tx transmission in the other band (TDD) for UL MIMO or Tx diversity, such as CA_n3</w:t>
      </w:r>
      <w:r w:rsidR="002C2BBA">
        <w:rPr>
          <w:rFonts w:ascii="Arial" w:hAnsi="Arial" w:cs="Arial"/>
          <w:sz w:val="20"/>
          <w:szCs w:val="20"/>
          <w:lang w:val="en-GB"/>
        </w:rPr>
        <w:t>A</w:t>
      </w:r>
      <w:r w:rsidRPr="00FF17F2">
        <w:rPr>
          <w:rFonts w:ascii="Arial" w:hAnsi="Arial" w:cs="Arial"/>
          <w:sz w:val="20"/>
          <w:szCs w:val="20"/>
          <w:lang w:val="en-GB"/>
        </w:rPr>
        <w:t>-n</w:t>
      </w:r>
      <w:r w:rsidR="002C2BBA">
        <w:rPr>
          <w:rFonts w:ascii="Arial" w:hAnsi="Arial" w:cs="Arial"/>
          <w:sz w:val="20"/>
          <w:szCs w:val="20"/>
          <w:lang w:val="en-GB"/>
        </w:rPr>
        <w:t>78A</w:t>
      </w:r>
      <w:r w:rsidRPr="00FF17F2">
        <w:rPr>
          <w:rFonts w:ascii="Arial" w:hAnsi="Arial" w:cs="Arial"/>
          <w:sz w:val="20"/>
          <w:szCs w:val="20"/>
          <w:lang w:val="en-GB"/>
        </w:rPr>
        <w:t xml:space="preserve"> where n3</w:t>
      </w:r>
      <w:r w:rsidR="002C2BBA">
        <w:rPr>
          <w:rFonts w:ascii="Arial" w:hAnsi="Arial" w:cs="Arial"/>
          <w:sz w:val="20"/>
          <w:szCs w:val="20"/>
          <w:lang w:val="en-GB"/>
        </w:rPr>
        <w:t>A</w:t>
      </w:r>
      <w:r w:rsidRPr="00FF17F2">
        <w:rPr>
          <w:rFonts w:ascii="Arial" w:hAnsi="Arial" w:cs="Arial"/>
          <w:sz w:val="20"/>
          <w:szCs w:val="20"/>
          <w:lang w:val="en-GB"/>
        </w:rPr>
        <w:t xml:space="preserve"> can be PC3 1Tx and n</w:t>
      </w:r>
      <w:r w:rsidR="002C2BBA">
        <w:rPr>
          <w:rFonts w:ascii="Arial" w:hAnsi="Arial" w:cs="Arial"/>
          <w:sz w:val="20"/>
          <w:szCs w:val="20"/>
          <w:lang w:val="en-GB"/>
        </w:rPr>
        <w:t>78A</w:t>
      </w:r>
      <w:r w:rsidRPr="00FF17F2">
        <w:rPr>
          <w:rFonts w:ascii="Arial" w:hAnsi="Arial" w:cs="Arial"/>
          <w:sz w:val="20"/>
          <w:szCs w:val="20"/>
          <w:lang w:val="en-GB"/>
        </w:rPr>
        <w:t xml:space="preserve"> can be PC2 or PC1.5 2Tx. With the anticipation that there is none or limited new UE RF requirements to be specified to support such configurations, especially for TDD+TDD combinations, the simultaneous 3Tx feature for 2-band inter-band combinations can be a low hanging fruit to further enhance UE UL throughput and coverage.</w:t>
      </w:r>
    </w:p>
    <w:p w14:paraId="01BF0842" w14:textId="77777777" w:rsidR="009034DD" w:rsidRDefault="009034DD" w:rsidP="00A75621">
      <w:pPr>
        <w:jc w:val="both"/>
        <w:rPr>
          <w:rFonts w:ascii="Arial" w:hAnsi="Arial" w:cs="Arial"/>
          <w:sz w:val="20"/>
          <w:szCs w:val="20"/>
        </w:rPr>
      </w:pPr>
    </w:p>
    <w:p w14:paraId="17F68248" w14:textId="77777777" w:rsidR="009034DD" w:rsidRPr="009034DD" w:rsidRDefault="009034DD" w:rsidP="009034DD">
      <w:pPr>
        <w:spacing w:after="120"/>
        <w:jc w:val="both"/>
        <w:rPr>
          <w:rFonts w:ascii="Arial" w:hAnsi="Arial" w:cs="Arial"/>
          <w:i/>
          <w:iCs/>
          <w:sz w:val="20"/>
          <w:szCs w:val="20"/>
          <w:lang w:val="en-GB"/>
        </w:rPr>
      </w:pPr>
      <w:r w:rsidRPr="009034DD">
        <w:rPr>
          <w:rFonts w:ascii="Arial" w:hAnsi="Arial" w:cs="Arial"/>
          <w:b/>
          <w:bCs/>
          <w:i/>
          <w:iCs/>
          <w:sz w:val="20"/>
          <w:szCs w:val="20"/>
        </w:rPr>
        <w:t>Observation 1</w:t>
      </w:r>
      <w:r w:rsidRPr="009034DD">
        <w:rPr>
          <w:rFonts w:ascii="Arial" w:hAnsi="Arial" w:cs="Arial"/>
          <w:i/>
          <w:iCs/>
          <w:sz w:val="20"/>
          <w:szCs w:val="20"/>
        </w:rPr>
        <w:t xml:space="preserve">: </w:t>
      </w:r>
      <w:r w:rsidRPr="009034DD">
        <w:rPr>
          <w:rFonts w:ascii="Arial" w:hAnsi="Arial" w:cs="Arial"/>
          <w:i/>
          <w:iCs/>
          <w:sz w:val="20"/>
          <w:szCs w:val="20"/>
          <w:lang w:val="en-GB"/>
        </w:rPr>
        <w:t>Many existing UEs are already hardware capable of supporting PC2+PC2 in TDD+TDD band combinations.</w:t>
      </w:r>
    </w:p>
    <w:p w14:paraId="3F70691B" w14:textId="77777777" w:rsidR="009034DD" w:rsidRDefault="009034DD" w:rsidP="00A75621">
      <w:pPr>
        <w:jc w:val="both"/>
        <w:rPr>
          <w:rFonts w:ascii="Arial" w:hAnsi="Arial" w:cs="Arial"/>
          <w:sz w:val="20"/>
          <w:szCs w:val="20"/>
          <w:lang w:val="en-GB"/>
        </w:rPr>
      </w:pPr>
    </w:p>
    <w:p w14:paraId="5B99CA06" w14:textId="78189468" w:rsidR="009034DD" w:rsidRPr="009034DD" w:rsidRDefault="009034DD" w:rsidP="009034DD">
      <w:pPr>
        <w:spacing w:after="120"/>
        <w:jc w:val="both"/>
        <w:rPr>
          <w:rFonts w:ascii="Arial" w:hAnsi="Arial" w:cs="Arial"/>
          <w:i/>
          <w:iCs/>
          <w:sz w:val="20"/>
          <w:szCs w:val="20"/>
          <w:lang w:val="en-GB"/>
        </w:rPr>
      </w:pPr>
      <w:r w:rsidRPr="009034DD">
        <w:rPr>
          <w:rFonts w:ascii="Arial" w:hAnsi="Arial" w:cs="Arial"/>
          <w:b/>
          <w:bCs/>
          <w:i/>
          <w:iCs/>
          <w:sz w:val="20"/>
          <w:szCs w:val="20"/>
        </w:rPr>
        <w:t>Observation 2</w:t>
      </w:r>
      <w:r w:rsidRPr="009034DD">
        <w:rPr>
          <w:rFonts w:ascii="Arial" w:hAnsi="Arial" w:cs="Arial"/>
          <w:i/>
          <w:iCs/>
          <w:sz w:val="20"/>
          <w:szCs w:val="20"/>
        </w:rPr>
        <w:t xml:space="preserve">: </w:t>
      </w:r>
      <w:r>
        <w:rPr>
          <w:rFonts w:ascii="Arial" w:hAnsi="Arial" w:cs="Arial"/>
          <w:i/>
          <w:iCs/>
          <w:sz w:val="20"/>
          <w:szCs w:val="20"/>
          <w:lang w:val="en-GB"/>
        </w:rPr>
        <w:t>M</w:t>
      </w:r>
      <w:r w:rsidRPr="009034DD">
        <w:rPr>
          <w:rFonts w:ascii="Arial" w:hAnsi="Arial" w:cs="Arial"/>
          <w:i/>
          <w:iCs/>
          <w:sz w:val="20"/>
          <w:szCs w:val="20"/>
          <w:lang w:val="en-GB"/>
        </w:rPr>
        <w:t>any existing UEs are already hardware capable of supporting inter-band combinations with simultaneous 1Tx transmission in one band (TDD or FDD) and 2Tx transmission in the other band (TDD) for UL MIMO or Tx diversity.</w:t>
      </w:r>
    </w:p>
    <w:p w14:paraId="06E92CC7" w14:textId="487214EE" w:rsidR="008E7986" w:rsidRPr="0093313C" w:rsidRDefault="009034DD" w:rsidP="00A75621">
      <w:pPr>
        <w:jc w:val="both"/>
        <w:rPr>
          <w:rFonts w:ascii="Arial" w:hAnsi="Arial" w:cs="Arial"/>
          <w:sz w:val="20"/>
          <w:szCs w:val="20"/>
        </w:rPr>
      </w:pPr>
      <w:r>
        <w:rPr>
          <w:rFonts w:ascii="Arial" w:hAnsi="Arial" w:cs="Arial"/>
          <w:sz w:val="20"/>
          <w:szCs w:val="20"/>
        </w:rPr>
        <w:t xml:space="preserve"> </w:t>
      </w:r>
      <w:r w:rsidR="00A95DCB">
        <w:rPr>
          <w:rFonts w:ascii="Arial" w:hAnsi="Arial" w:cs="Arial"/>
          <w:sz w:val="20"/>
          <w:szCs w:val="20"/>
        </w:rPr>
        <w:t xml:space="preserve">     </w:t>
      </w:r>
      <w:r w:rsidR="00A95DCB" w:rsidRPr="00A95DCB">
        <w:rPr>
          <w:rFonts w:ascii="Arial" w:hAnsi="Arial" w:cs="Arial"/>
          <w:sz w:val="20"/>
          <w:szCs w:val="20"/>
        </w:rPr>
        <w:t xml:space="preserve">     </w:t>
      </w:r>
      <w:r w:rsidR="004B2CAA" w:rsidRPr="00A95DCB">
        <w:rPr>
          <w:rFonts w:ascii="Arial" w:hAnsi="Arial" w:cs="Arial"/>
          <w:sz w:val="20"/>
          <w:szCs w:val="20"/>
        </w:rPr>
        <w:t xml:space="preserve"> </w:t>
      </w:r>
      <w:r w:rsidR="000F21E4" w:rsidRPr="00A95DCB">
        <w:rPr>
          <w:rFonts w:ascii="Arial" w:hAnsi="Arial" w:cs="Arial"/>
          <w:sz w:val="20"/>
          <w:szCs w:val="20"/>
        </w:rPr>
        <w:t xml:space="preserve"> </w:t>
      </w:r>
      <w:r w:rsidR="00A14182" w:rsidRPr="00A95DCB">
        <w:rPr>
          <w:rFonts w:ascii="Arial" w:hAnsi="Arial" w:cs="Arial"/>
          <w:sz w:val="20"/>
          <w:szCs w:val="20"/>
          <w:lang w:val="en-GB"/>
        </w:rPr>
        <w:t xml:space="preserve"> </w:t>
      </w:r>
      <w:r w:rsidR="00531036" w:rsidRPr="00A95DCB">
        <w:rPr>
          <w:rFonts w:ascii="Arial" w:hAnsi="Arial" w:cs="Arial"/>
          <w:sz w:val="20"/>
          <w:szCs w:val="20"/>
          <w:lang w:val="en-GB"/>
        </w:rPr>
        <w:t xml:space="preserve"> </w:t>
      </w:r>
      <w:r w:rsidR="005C43AC" w:rsidRPr="00A95DCB">
        <w:rPr>
          <w:rFonts w:ascii="Arial" w:hAnsi="Arial" w:cs="Arial"/>
          <w:sz w:val="20"/>
          <w:szCs w:val="20"/>
          <w:lang w:val="en-GB"/>
        </w:rPr>
        <w:t xml:space="preserve"> </w:t>
      </w:r>
      <w:r w:rsidR="00A02BA9" w:rsidRPr="00A95DCB">
        <w:rPr>
          <w:rFonts w:ascii="Arial" w:hAnsi="Arial" w:cs="Arial"/>
          <w:sz w:val="20"/>
          <w:szCs w:val="20"/>
        </w:rPr>
        <w:t xml:space="preserve">  </w:t>
      </w:r>
      <w:r w:rsidR="00C331E9" w:rsidRPr="00A95DCB">
        <w:rPr>
          <w:rFonts w:ascii="Arial" w:hAnsi="Arial" w:cs="Arial"/>
          <w:sz w:val="20"/>
          <w:szCs w:val="20"/>
        </w:rPr>
        <w:t xml:space="preserve"> </w:t>
      </w:r>
      <w:r w:rsidR="0039506D" w:rsidRPr="00A0194F">
        <w:rPr>
          <w:rFonts w:ascii="Arial" w:hAnsi="Arial" w:cs="Arial"/>
          <w:iCs/>
          <w:sz w:val="20"/>
          <w:szCs w:val="20"/>
        </w:rPr>
        <w:t xml:space="preserve">    </w:t>
      </w:r>
      <w:r w:rsidR="00F90B00" w:rsidRPr="00A0194F">
        <w:rPr>
          <w:rFonts w:ascii="Arial" w:hAnsi="Arial" w:cs="Arial"/>
          <w:iCs/>
          <w:sz w:val="20"/>
          <w:szCs w:val="20"/>
        </w:rPr>
        <w:t xml:space="preserve">    </w:t>
      </w:r>
    </w:p>
    <w:p w14:paraId="24D7F7C7" w14:textId="745B642F" w:rsidR="00D00BA3" w:rsidRPr="00FB645D" w:rsidRDefault="00FF17F2" w:rsidP="0093313C">
      <w:pPr>
        <w:pStyle w:val="Heading1"/>
        <w:numPr>
          <w:ilvl w:val="0"/>
          <w:numId w:val="11"/>
        </w:numPr>
        <w:spacing w:before="120" w:after="120"/>
        <w:ind w:left="1138" w:hanging="1138"/>
      </w:pPr>
      <w:r>
        <w:t>Proposed UL configurations</w:t>
      </w:r>
      <w:r w:rsidR="001C3E72">
        <w:t xml:space="preserve"> and requirements</w:t>
      </w:r>
    </w:p>
    <w:p w14:paraId="63B2E3AA" w14:textId="77777777" w:rsidR="0011748D" w:rsidRDefault="0011748D" w:rsidP="00A51D63">
      <w:pPr>
        <w:jc w:val="both"/>
        <w:rPr>
          <w:rFonts w:ascii="Arial" w:hAnsi="Arial" w:cs="Arial"/>
          <w:bCs/>
          <w:sz w:val="20"/>
          <w:szCs w:val="20"/>
        </w:rPr>
      </w:pPr>
    </w:p>
    <w:p w14:paraId="12946531" w14:textId="63DCC652" w:rsidR="000F3156" w:rsidRDefault="00FF17F2" w:rsidP="00A51D63">
      <w:pPr>
        <w:spacing w:after="120"/>
        <w:jc w:val="both"/>
        <w:rPr>
          <w:rFonts w:ascii="Arial" w:hAnsi="Arial" w:cs="Arial"/>
          <w:sz w:val="20"/>
          <w:szCs w:val="20"/>
        </w:rPr>
      </w:pPr>
      <w:r>
        <w:rPr>
          <w:rFonts w:ascii="Arial" w:hAnsi="Arial" w:cs="Arial"/>
          <w:sz w:val="20"/>
          <w:szCs w:val="20"/>
        </w:rPr>
        <w:t xml:space="preserve">As mentioned above, to leverage the </w:t>
      </w:r>
      <w:r w:rsidRPr="00D663A3">
        <w:rPr>
          <w:rFonts w:ascii="Arial" w:hAnsi="Arial" w:cs="Arial"/>
          <w:sz w:val="20"/>
          <w:szCs w:val="20"/>
          <w:lang w:val="en-GB"/>
        </w:rPr>
        <w:t>“increasing UE power high limit”</w:t>
      </w:r>
      <w:r>
        <w:rPr>
          <w:rFonts w:ascii="Arial" w:hAnsi="Arial" w:cs="Arial"/>
          <w:sz w:val="20"/>
          <w:szCs w:val="20"/>
          <w:lang w:val="en-GB"/>
        </w:rPr>
        <w:t xml:space="preserve"> </w:t>
      </w:r>
      <w:r w:rsidR="00AA286D">
        <w:rPr>
          <w:rFonts w:ascii="Arial" w:hAnsi="Arial" w:cs="Arial"/>
          <w:sz w:val="20"/>
          <w:szCs w:val="20"/>
          <w:lang w:val="en-GB"/>
        </w:rPr>
        <w:t>feature for PC1.5 capable UE, it is imperative to first introduce PC1.5 UL combination into the specifications. In our view, the easiest migration path is to start with PC2+PC2 in TDD+TDD band combinations, such as PC1.5 for UL CA_n41</w:t>
      </w:r>
      <w:r w:rsidR="006023EA">
        <w:rPr>
          <w:rFonts w:ascii="Arial" w:hAnsi="Arial" w:cs="Arial"/>
          <w:sz w:val="20"/>
          <w:szCs w:val="20"/>
          <w:lang w:val="en-GB"/>
        </w:rPr>
        <w:t>A</w:t>
      </w:r>
      <w:r w:rsidR="00AA286D">
        <w:rPr>
          <w:rFonts w:ascii="Arial" w:hAnsi="Arial" w:cs="Arial"/>
          <w:sz w:val="20"/>
          <w:szCs w:val="20"/>
          <w:lang w:val="en-GB"/>
        </w:rPr>
        <w:t>-n77</w:t>
      </w:r>
      <w:r w:rsidR="006023EA">
        <w:rPr>
          <w:rFonts w:ascii="Arial" w:hAnsi="Arial" w:cs="Arial"/>
          <w:sz w:val="20"/>
          <w:szCs w:val="20"/>
          <w:lang w:val="en-GB"/>
        </w:rPr>
        <w:t>A</w:t>
      </w:r>
      <w:r w:rsidR="00AA286D">
        <w:rPr>
          <w:rFonts w:ascii="Arial" w:hAnsi="Arial" w:cs="Arial"/>
          <w:sz w:val="20"/>
          <w:szCs w:val="20"/>
          <w:lang w:val="en-GB"/>
        </w:rPr>
        <w:t xml:space="preserve">. Since for TDD+TDD combination under simultaneous 2Tx operation, there would not be </w:t>
      </w:r>
      <w:r w:rsidR="00937D26">
        <w:rPr>
          <w:rFonts w:ascii="Arial" w:hAnsi="Arial" w:cs="Arial"/>
          <w:sz w:val="20"/>
          <w:szCs w:val="20"/>
          <w:lang w:val="en-GB"/>
        </w:rPr>
        <w:t xml:space="preserve">DL reception in both bands, therefore the 2UL IMD issue does not need to be considered. </w:t>
      </w:r>
      <w:r w:rsidR="00AA286D">
        <w:rPr>
          <w:rFonts w:ascii="Arial" w:hAnsi="Arial" w:cs="Arial"/>
          <w:sz w:val="20"/>
          <w:szCs w:val="20"/>
          <w:lang w:val="en-GB"/>
        </w:rPr>
        <w:t xml:space="preserve"> </w:t>
      </w:r>
    </w:p>
    <w:p w14:paraId="1A91FB62" w14:textId="62026479" w:rsidR="00610715" w:rsidRDefault="00610715" w:rsidP="001645BD">
      <w:pPr>
        <w:jc w:val="both"/>
        <w:rPr>
          <w:rFonts w:ascii="Arial" w:hAnsi="Arial" w:cs="Arial"/>
          <w:sz w:val="20"/>
          <w:szCs w:val="20"/>
        </w:rPr>
      </w:pPr>
    </w:p>
    <w:p w14:paraId="7F8DA477" w14:textId="49BE4BC2" w:rsidR="009034DD" w:rsidRDefault="009034DD" w:rsidP="00423B10">
      <w:pPr>
        <w:spacing w:after="120"/>
        <w:jc w:val="both"/>
        <w:rPr>
          <w:rFonts w:ascii="Arial" w:hAnsi="Arial" w:cs="Arial"/>
          <w:i/>
          <w:iCs/>
          <w:sz w:val="20"/>
          <w:szCs w:val="20"/>
          <w:lang w:val="en-GB"/>
        </w:rPr>
      </w:pPr>
      <w:r w:rsidRPr="009034DD">
        <w:rPr>
          <w:rFonts w:ascii="Arial" w:hAnsi="Arial" w:cs="Arial"/>
          <w:b/>
          <w:bCs/>
          <w:i/>
          <w:iCs/>
          <w:sz w:val="20"/>
          <w:szCs w:val="20"/>
        </w:rPr>
        <w:t xml:space="preserve">Observation </w:t>
      </w:r>
      <w:r>
        <w:rPr>
          <w:rFonts w:ascii="Arial" w:hAnsi="Arial" w:cs="Arial"/>
          <w:b/>
          <w:bCs/>
          <w:i/>
          <w:iCs/>
          <w:sz w:val="20"/>
          <w:szCs w:val="20"/>
        </w:rPr>
        <w:t>3</w:t>
      </w:r>
      <w:r w:rsidRPr="009034DD">
        <w:rPr>
          <w:rFonts w:ascii="Arial" w:hAnsi="Arial" w:cs="Arial"/>
          <w:i/>
          <w:iCs/>
          <w:sz w:val="20"/>
          <w:szCs w:val="20"/>
        </w:rPr>
        <w:t xml:space="preserve">: </w:t>
      </w:r>
      <w:r>
        <w:rPr>
          <w:rFonts w:ascii="Arial" w:hAnsi="Arial" w:cs="Arial"/>
          <w:i/>
          <w:iCs/>
          <w:sz w:val="20"/>
          <w:szCs w:val="20"/>
          <w:lang w:val="en-GB"/>
        </w:rPr>
        <w:t>F</w:t>
      </w:r>
      <w:r w:rsidRPr="009034DD">
        <w:rPr>
          <w:rFonts w:ascii="Arial" w:hAnsi="Arial" w:cs="Arial"/>
          <w:i/>
          <w:iCs/>
          <w:sz w:val="20"/>
          <w:szCs w:val="20"/>
          <w:lang w:val="en-GB"/>
        </w:rPr>
        <w:t>or TDD+TDD combination under simultaneous 2Tx operation, there would not be DL reception in both bands, therefore the 2UL IMD issue does not need to be considered.</w:t>
      </w:r>
    </w:p>
    <w:p w14:paraId="0DBCB889" w14:textId="77777777" w:rsidR="009034DD" w:rsidRPr="009034DD" w:rsidRDefault="009034DD" w:rsidP="009034DD">
      <w:pPr>
        <w:jc w:val="both"/>
        <w:rPr>
          <w:rFonts w:ascii="Arial" w:hAnsi="Arial" w:cs="Arial"/>
          <w:sz w:val="20"/>
          <w:szCs w:val="20"/>
          <w:lang w:val="en-GB"/>
        </w:rPr>
      </w:pPr>
    </w:p>
    <w:p w14:paraId="498D2DE3" w14:textId="5ED398B7" w:rsidR="00216772" w:rsidRDefault="00937D26" w:rsidP="00423B10">
      <w:pPr>
        <w:spacing w:after="120"/>
        <w:jc w:val="both"/>
        <w:rPr>
          <w:rFonts w:ascii="Arial" w:hAnsi="Arial" w:cs="Arial"/>
          <w:sz w:val="20"/>
          <w:szCs w:val="20"/>
          <w:lang w:val="en-GB"/>
        </w:rPr>
      </w:pPr>
      <w:r>
        <w:rPr>
          <w:rFonts w:ascii="Arial" w:hAnsi="Arial" w:cs="Arial"/>
          <w:sz w:val="20"/>
          <w:szCs w:val="20"/>
        </w:rPr>
        <w:lastRenderedPageBreak/>
        <w:t>The second set of proposed UL configurations are based on simultaneous 3Tx transmission in two UL bands w</w:t>
      </w:r>
      <w:r w:rsidR="00A67389">
        <w:rPr>
          <w:rFonts w:ascii="Arial" w:hAnsi="Arial" w:cs="Arial"/>
          <w:sz w:val="20"/>
          <w:szCs w:val="20"/>
        </w:rPr>
        <w:t>ith 1CC strictly in each band where one band is with 1Tx transmission (FDD or TDD band</w:t>
      </w:r>
      <w:r w:rsidR="00E35C6C">
        <w:rPr>
          <w:rFonts w:ascii="Arial" w:hAnsi="Arial" w:cs="Arial"/>
          <w:sz w:val="20"/>
          <w:szCs w:val="20"/>
        </w:rPr>
        <w:t xml:space="preserve">) </w:t>
      </w:r>
      <w:r w:rsidR="00A67389">
        <w:rPr>
          <w:rFonts w:ascii="Arial" w:hAnsi="Arial" w:cs="Arial"/>
          <w:sz w:val="20"/>
          <w:szCs w:val="20"/>
        </w:rPr>
        <w:t>and the other band is with 2Tx transmission (TDD band only) for UL MIMO or Tx diversity operation. The potential band combinations can be CA_n3</w:t>
      </w:r>
      <w:r w:rsidR="00816333">
        <w:rPr>
          <w:rFonts w:ascii="Arial" w:hAnsi="Arial" w:cs="Arial"/>
          <w:sz w:val="20"/>
          <w:szCs w:val="20"/>
        </w:rPr>
        <w:t>A</w:t>
      </w:r>
      <w:r w:rsidR="00A67389">
        <w:rPr>
          <w:rFonts w:ascii="Arial" w:hAnsi="Arial" w:cs="Arial"/>
          <w:sz w:val="20"/>
          <w:szCs w:val="20"/>
        </w:rPr>
        <w:t>-n41</w:t>
      </w:r>
      <w:r w:rsidR="00816333">
        <w:rPr>
          <w:rFonts w:ascii="Arial" w:hAnsi="Arial" w:cs="Arial"/>
          <w:sz w:val="20"/>
          <w:szCs w:val="20"/>
        </w:rPr>
        <w:t>A</w:t>
      </w:r>
      <w:r w:rsidR="00A67389">
        <w:rPr>
          <w:rFonts w:ascii="Arial" w:hAnsi="Arial" w:cs="Arial"/>
          <w:sz w:val="20"/>
          <w:szCs w:val="20"/>
        </w:rPr>
        <w:t>, CA_n3</w:t>
      </w:r>
      <w:r w:rsidR="00816333">
        <w:rPr>
          <w:rFonts w:ascii="Arial" w:hAnsi="Arial" w:cs="Arial"/>
          <w:sz w:val="20"/>
          <w:szCs w:val="20"/>
        </w:rPr>
        <w:t>A</w:t>
      </w:r>
      <w:r w:rsidR="00A67389">
        <w:rPr>
          <w:rFonts w:ascii="Arial" w:hAnsi="Arial" w:cs="Arial"/>
          <w:sz w:val="20"/>
          <w:szCs w:val="20"/>
        </w:rPr>
        <w:t>-n78</w:t>
      </w:r>
      <w:r w:rsidR="00816333">
        <w:rPr>
          <w:rFonts w:ascii="Arial" w:hAnsi="Arial" w:cs="Arial"/>
          <w:sz w:val="20"/>
          <w:szCs w:val="20"/>
        </w:rPr>
        <w:t>A</w:t>
      </w:r>
      <w:r w:rsidR="00A67389">
        <w:rPr>
          <w:rFonts w:ascii="Arial" w:hAnsi="Arial" w:cs="Arial"/>
          <w:sz w:val="20"/>
          <w:szCs w:val="20"/>
        </w:rPr>
        <w:t xml:space="preserve">, </w:t>
      </w:r>
      <w:r w:rsidR="00996789">
        <w:rPr>
          <w:rFonts w:ascii="Arial" w:hAnsi="Arial" w:cs="Arial"/>
          <w:sz w:val="20"/>
          <w:szCs w:val="20"/>
        </w:rPr>
        <w:t>CA_n25</w:t>
      </w:r>
      <w:r w:rsidR="00816333">
        <w:rPr>
          <w:rFonts w:ascii="Arial" w:hAnsi="Arial" w:cs="Arial"/>
          <w:sz w:val="20"/>
          <w:szCs w:val="20"/>
        </w:rPr>
        <w:t>A</w:t>
      </w:r>
      <w:r w:rsidR="00996789">
        <w:rPr>
          <w:rFonts w:ascii="Arial" w:hAnsi="Arial" w:cs="Arial"/>
          <w:sz w:val="20"/>
          <w:szCs w:val="20"/>
        </w:rPr>
        <w:t>-n41</w:t>
      </w:r>
      <w:r w:rsidR="00816333">
        <w:rPr>
          <w:rFonts w:ascii="Arial" w:hAnsi="Arial" w:cs="Arial"/>
          <w:sz w:val="20"/>
          <w:szCs w:val="20"/>
        </w:rPr>
        <w:t>A</w:t>
      </w:r>
      <w:r w:rsidR="00996789">
        <w:rPr>
          <w:rFonts w:ascii="Arial" w:hAnsi="Arial" w:cs="Arial"/>
          <w:sz w:val="20"/>
          <w:szCs w:val="20"/>
        </w:rPr>
        <w:t>, and CA_n</w:t>
      </w:r>
      <w:r w:rsidR="00782AD9">
        <w:rPr>
          <w:rFonts w:ascii="Arial" w:hAnsi="Arial" w:cs="Arial"/>
          <w:sz w:val="20"/>
          <w:szCs w:val="20"/>
        </w:rPr>
        <w:t>41</w:t>
      </w:r>
      <w:r w:rsidR="00816333">
        <w:rPr>
          <w:rFonts w:ascii="Arial" w:hAnsi="Arial" w:cs="Arial"/>
          <w:sz w:val="20"/>
          <w:szCs w:val="20"/>
        </w:rPr>
        <w:t>A</w:t>
      </w:r>
      <w:r w:rsidR="00996789">
        <w:rPr>
          <w:rFonts w:ascii="Arial" w:hAnsi="Arial" w:cs="Arial"/>
          <w:sz w:val="20"/>
          <w:szCs w:val="20"/>
        </w:rPr>
        <w:t>-n</w:t>
      </w:r>
      <w:r w:rsidR="00782AD9">
        <w:rPr>
          <w:rFonts w:ascii="Arial" w:hAnsi="Arial" w:cs="Arial"/>
          <w:sz w:val="20"/>
          <w:szCs w:val="20"/>
        </w:rPr>
        <w:t>7</w:t>
      </w:r>
      <w:r w:rsidR="00996789">
        <w:rPr>
          <w:rFonts w:ascii="Arial" w:hAnsi="Arial" w:cs="Arial"/>
          <w:sz w:val="20"/>
          <w:szCs w:val="20"/>
        </w:rPr>
        <w:t>1</w:t>
      </w:r>
      <w:r w:rsidR="00816333">
        <w:rPr>
          <w:rFonts w:ascii="Arial" w:hAnsi="Arial" w:cs="Arial"/>
          <w:sz w:val="20"/>
          <w:szCs w:val="20"/>
        </w:rPr>
        <w:t>A</w:t>
      </w:r>
      <w:r w:rsidR="00996789">
        <w:rPr>
          <w:rFonts w:ascii="Arial" w:hAnsi="Arial" w:cs="Arial"/>
          <w:sz w:val="20"/>
          <w:szCs w:val="20"/>
        </w:rPr>
        <w:t xml:space="preserve">, </w:t>
      </w:r>
      <w:r w:rsidR="00A67389">
        <w:rPr>
          <w:rFonts w:ascii="Arial" w:hAnsi="Arial" w:cs="Arial"/>
          <w:sz w:val="20"/>
          <w:szCs w:val="20"/>
        </w:rPr>
        <w:t xml:space="preserve">etc. Under this set of UL configurations, the UL power can be </w:t>
      </w:r>
      <w:r w:rsidR="00B21C27">
        <w:rPr>
          <w:rFonts w:ascii="Arial" w:hAnsi="Arial" w:cs="Arial"/>
          <w:sz w:val="20"/>
          <w:szCs w:val="20"/>
        </w:rPr>
        <w:t xml:space="preserve">PC2, PC2 with </w:t>
      </w:r>
      <w:r w:rsidR="00B21C27" w:rsidRPr="00D663A3">
        <w:rPr>
          <w:rFonts w:ascii="Arial" w:hAnsi="Arial" w:cs="Arial"/>
          <w:sz w:val="20"/>
          <w:szCs w:val="20"/>
          <w:lang w:val="en-GB"/>
        </w:rPr>
        <w:t>“increasing UE power high limit”</w:t>
      </w:r>
      <w:r w:rsidR="00B21C27">
        <w:rPr>
          <w:rFonts w:ascii="Arial" w:hAnsi="Arial" w:cs="Arial"/>
          <w:sz w:val="20"/>
          <w:szCs w:val="20"/>
          <w:lang w:val="en-GB"/>
        </w:rPr>
        <w:t xml:space="preserve">, PC1.5, and PC1.5 with </w:t>
      </w:r>
      <w:r w:rsidR="00B21C27" w:rsidRPr="00D663A3">
        <w:rPr>
          <w:rFonts w:ascii="Arial" w:hAnsi="Arial" w:cs="Arial"/>
          <w:sz w:val="20"/>
          <w:szCs w:val="20"/>
          <w:lang w:val="en-GB"/>
        </w:rPr>
        <w:t>“increasing UE power high limit”</w:t>
      </w:r>
      <w:r w:rsidR="00B21C27">
        <w:rPr>
          <w:rFonts w:ascii="Arial" w:hAnsi="Arial" w:cs="Arial"/>
          <w:sz w:val="20"/>
          <w:szCs w:val="20"/>
          <w:lang w:val="en-GB"/>
        </w:rPr>
        <w:t>.</w:t>
      </w:r>
      <w:r w:rsidR="005B3763">
        <w:rPr>
          <w:rFonts w:ascii="Arial" w:hAnsi="Arial" w:cs="Arial"/>
          <w:sz w:val="20"/>
          <w:szCs w:val="20"/>
          <w:lang w:val="en-GB"/>
        </w:rPr>
        <w:t xml:space="preserve"> Since for inter-band UL combinations, the Tx requirements are basically per-band based, </w:t>
      </w:r>
      <w:r w:rsidR="00E35C6C">
        <w:rPr>
          <w:rFonts w:ascii="Arial" w:hAnsi="Arial" w:cs="Arial"/>
          <w:sz w:val="20"/>
          <w:szCs w:val="20"/>
          <w:lang w:val="en-GB"/>
        </w:rPr>
        <w:t xml:space="preserve">and the RF characteristic for UL MIMO or Tx diversity with 1CC </w:t>
      </w:r>
      <w:r w:rsidR="00E9055C">
        <w:rPr>
          <w:rFonts w:ascii="Arial" w:hAnsi="Arial" w:cs="Arial"/>
          <w:sz w:val="20"/>
          <w:szCs w:val="20"/>
          <w:lang w:val="en-GB"/>
        </w:rPr>
        <w:t xml:space="preserve">is virtually </w:t>
      </w:r>
      <w:r w:rsidR="00E35C6C">
        <w:rPr>
          <w:rFonts w:ascii="Arial" w:hAnsi="Arial" w:cs="Arial"/>
          <w:sz w:val="20"/>
          <w:szCs w:val="20"/>
          <w:lang w:val="en-GB"/>
        </w:rPr>
        <w:t xml:space="preserve">no different from 1Tx, therefore, no new Tx requirement is expected for such UL configurations. On the Rx requirements side, for PC2 and </w:t>
      </w:r>
      <w:r w:rsidR="00E35C6C">
        <w:rPr>
          <w:rFonts w:ascii="Arial" w:hAnsi="Arial" w:cs="Arial"/>
          <w:sz w:val="20"/>
          <w:szCs w:val="20"/>
        </w:rPr>
        <w:t xml:space="preserve">PC2 with </w:t>
      </w:r>
      <w:r w:rsidR="00E35C6C" w:rsidRPr="00D663A3">
        <w:rPr>
          <w:rFonts w:ascii="Arial" w:hAnsi="Arial" w:cs="Arial"/>
          <w:sz w:val="20"/>
          <w:szCs w:val="20"/>
          <w:lang w:val="en-GB"/>
        </w:rPr>
        <w:t>“increasing UE power high limit”</w:t>
      </w:r>
      <w:r w:rsidR="00E35C6C">
        <w:rPr>
          <w:rFonts w:ascii="Arial" w:hAnsi="Arial" w:cs="Arial"/>
          <w:sz w:val="20"/>
          <w:szCs w:val="20"/>
          <w:lang w:val="en-GB"/>
        </w:rPr>
        <w:t xml:space="preserve">, there would be no difference from </w:t>
      </w:r>
      <w:r w:rsidR="00EA73AA">
        <w:rPr>
          <w:rFonts w:ascii="Arial" w:hAnsi="Arial" w:cs="Arial"/>
          <w:sz w:val="20"/>
          <w:szCs w:val="20"/>
          <w:lang w:val="en-GB"/>
        </w:rPr>
        <w:t xml:space="preserve">the </w:t>
      </w:r>
      <w:r w:rsidR="00E35C6C">
        <w:rPr>
          <w:rFonts w:ascii="Arial" w:hAnsi="Arial" w:cs="Arial"/>
          <w:sz w:val="20"/>
          <w:szCs w:val="20"/>
          <w:lang w:val="en-GB"/>
        </w:rPr>
        <w:t xml:space="preserve">existing inter-band UL </w:t>
      </w:r>
      <w:r w:rsidR="00216772">
        <w:rPr>
          <w:rFonts w:ascii="Arial" w:hAnsi="Arial" w:cs="Arial"/>
          <w:sz w:val="20"/>
          <w:szCs w:val="20"/>
          <w:lang w:val="en-GB"/>
        </w:rPr>
        <w:t xml:space="preserve">combinations with 2Tx. For PC1.5 and PC1.5 with </w:t>
      </w:r>
      <w:r w:rsidR="00216772" w:rsidRPr="00D663A3">
        <w:rPr>
          <w:rFonts w:ascii="Arial" w:hAnsi="Arial" w:cs="Arial"/>
          <w:sz w:val="20"/>
          <w:szCs w:val="20"/>
          <w:lang w:val="en-GB"/>
        </w:rPr>
        <w:t>“increasing UE power high limit”</w:t>
      </w:r>
      <w:r w:rsidR="00216772">
        <w:rPr>
          <w:rFonts w:ascii="Arial" w:hAnsi="Arial" w:cs="Arial"/>
          <w:sz w:val="20"/>
          <w:szCs w:val="20"/>
          <w:lang w:val="en-GB"/>
        </w:rPr>
        <w:t xml:space="preserve">, there would not be any new requirement for TDD+TDD combinations. In our view, the only potential new requirements to be developed are for PC1.5 and PC1.5 with </w:t>
      </w:r>
      <w:r w:rsidR="00216772" w:rsidRPr="00D663A3">
        <w:rPr>
          <w:rFonts w:ascii="Arial" w:hAnsi="Arial" w:cs="Arial"/>
          <w:sz w:val="20"/>
          <w:szCs w:val="20"/>
          <w:lang w:val="en-GB"/>
        </w:rPr>
        <w:t>“increasing UE power high limit”</w:t>
      </w:r>
      <w:r w:rsidR="00216772">
        <w:rPr>
          <w:rFonts w:ascii="Arial" w:hAnsi="Arial" w:cs="Arial"/>
          <w:sz w:val="20"/>
          <w:szCs w:val="20"/>
          <w:lang w:val="en-GB"/>
        </w:rPr>
        <w:t xml:space="preserve"> for FDD+TDD combinations.</w:t>
      </w:r>
    </w:p>
    <w:p w14:paraId="47DD1158" w14:textId="03900B49" w:rsidR="009034DD" w:rsidRDefault="009034DD" w:rsidP="00255EAC">
      <w:pPr>
        <w:jc w:val="both"/>
        <w:rPr>
          <w:rFonts w:ascii="Arial" w:hAnsi="Arial" w:cs="Arial"/>
          <w:sz w:val="20"/>
          <w:szCs w:val="20"/>
          <w:lang w:val="en-GB"/>
        </w:rPr>
      </w:pPr>
    </w:p>
    <w:p w14:paraId="480D9DFA" w14:textId="3A911367" w:rsidR="009034DD" w:rsidRDefault="009034DD" w:rsidP="009034DD">
      <w:pPr>
        <w:spacing w:after="120"/>
        <w:jc w:val="both"/>
        <w:rPr>
          <w:rFonts w:ascii="Arial" w:hAnsi="Arial" w:cs="Arial"/>
          <w:i/>
          <w:iCs/>
          <w:sz w:val="20"/>
          <w:szCs w:val="20"/>
          <w:lang w:val="en-GB"/>
        </w:rPr>
      </w:pPr>
      <w:r w:rsidRPr="009034DD">
        <w:rPr>
          <w:rFonts w:ascii="Arial" w:hAnsi="Arial" w:cs="Arial"/>
          <w:b/>
          <w:bCs/>
          <w:i/>
          <w:iCs/>
          <w:sz w:val="20"/>
          <w:szCs w:val="20"/>
        </w:rPr>
        <w:t xml:space="preserve">Observation </w:t>
      </w:r>
      <w:r>
        <w:rPr>
          <w:rFonts w:ascii="Arial" w:hAnsi="Arial" w:cs="Arial"/>
          <w:b/>
          <w:bCs/>
          <w:i/>
          <w:iCs/>
          <w:sz w:val="20"/>
          <w:szCs w:val="20"/>
        </w:rPr>
        <w:t>4</w:t>
      </w:r>
      <w:r w:rsidRPr="009034DD">
        <w:rPr>
          <w:rFonts w:ascii="Arial" w:hAnsi="Arial" w:cs="Arial"/>
          <w:i/>
          <w:iCs/>
          <w:sz w:val="20"/>
          <w:szCs w:val="20"/>
        </w:rPr>
        <w:t xml:space="preserve">: </w:t>
      </w:r>
      <w:r>
        <w:rPr>
          <w:rFonts w:ascii="Arial" w:hAnsi="Arial" w:cs="Arial"/>
          <w:i/>
          <w:iCs/>
          <w:sz w:val="20"/>
          <w:szCs w:val="20"/>
          <w:lang w:val="en-GB"/>
        </w:rPr>
        <w:t>F</w:t>
      </w:r>
      <w:r w:rsidRPr="009034DD">
        <w:rPr>
          <w:rFonts w:ascii="Arial" w:hAnsi="Arial" w:cs="Arial"/>
          <w:i/>
          <w:iCs/>
          <w:sz w:val="20"/>
          <w:szCs w:val="20"/>
          <w:lang w:val="en-GB"/>
        </w:rPr>
        <w:t>or inter-band UL combinations, the Tx requirements are basically per-band based, and the RF characteristic for UL MIMO or Tx diversity with 1CC is virtually no different from 1Tx.</w:t>
      </w:r>
      <w:r>
        <w:rPr>
          <w:rFonts w:ascii="Arial" w:hAnsi="Arial" w:cs="Arial"/>
          <w:i/>
          <w:iCs/>
          <w:sz w:val="20"/>
          <w:szCs w:val="20"/>
          <w:lang w:val="en-GB"/>
        </w:rPr>
        <w:t xml:space="preserve"> Therefore, </w:t>
      </w:r>
      <w:r w:rsidRPr="009034DD">
        <w:rPr>
          <w:rFonts w:ascii="Arial" w:hAnsi="Arial" w:cs="Arial"/>
          <w:i/>
          <w:iCs/>
          <w:sz w:val="20"/>
          <w:szCs w:val="20"/>
          <w:lang w:val="en-GB"/>
        </w:rPr>
        <w:t xml:space="preserve">no new Tx requirement is expected for </w:t>
      </w:r>
      <w:r>
        <w:rPr>
          <w:rFonts w:ascii="Arial" w:hAnsi="Arial" w:cs="Arial"/>
          <w:i/>
          <w:iCs/>
          <w:sz w:val="20"/>
          <w:szCs w:val="20"/>
          <w:lang w:val="en-GB"/>
        </w:rPr>
        <w:t>the intended 3Tx</w:t>
      </w:r>
      <w:r w:rsidRPr="009034DD">
        <w:rPr>
          <w:rFonts w:ascii="Arial" w:hAnsi="Arial" w:cs="Arial"/>
          <w:i/>
          <w:iCs/>
          <w:sz w:val="20"/>
          <w:szCs w:val="20"/>
          <w:lang w:val="en-GB"/>
        </w:rPr>
        <w:t xml:space="preserve"> UL configurations</w:t>
      </w:r>
      <w:r>
        <w:rPr>
          <w:rFonts w:ascii="Arial" w:hAnsi="Arial" w:cs="Arial"/>
          <w:i/>
          <w:iCs/>
          <w:sz w:val="20"/>
          <w:szCs w:val="20"/>
          <w:lang w:val="en-GB"/>
        </w:rPr>
        <w:t>.</w:t>
      </w:r>
    </w:p>
    <w:p w14:paraId="6AA2398C" w14:textId="6C86959C" w:rsidR="009034DD" w:rsidRDefault="009034DD" w:rsidP="00255EAC">
      <w:pPr>
        <w:jc w:val="both"/>
        <w:rPr>
          <w:rFonts w:ascii="Arial" w:hAnsi="Arial" w:cs="Arial"/>
          <w:i/>
          <w:iCs/>
          <w:sz w:val="20"/>
          <w:szCs w:val="20"/>
          <w:lang w:val="en-GB"/>
        </w:rPr>
      </w:pPr>
    </w:p>
    <w:p w14:paraId="02267524" w14:textId="4C9915EA" w:rsidR="009034DD" w:rsidRDefault="009034DD" w:rsidP="00EA73AA">
      <w:pPr>
        <w:spacing w:after="120"/>
        <w:jc w:val="both"/>
        <w:rPr>
          <w:rFonts w:ascii="Arial" w:hAnsi="Arial" w:cs="Arial"/>
          <w:sz w:val="20"/>
          <w:szCs w:val="20"/>
          <w:lang w:val="en-GB"/>
        </w:rPr>
      </w:pPr>
      <w:r w:rsidRPr="009034DD">
        <w:rPr>
          <w:rFonts w:ascii="Arial" w:hAnsi="Arial" w:cs="Arial"/>
          <w:b/>
          <w:bCs/>
          <w:i/>
          <w:iCs/>
          <w:sz w:val="20"/>
          <w:szCs w:val="20"/>
        </w:rPr>
        <w:t xml:space="preserve">Observation </w:t>
      </w:r>
      <w:r>
        <w:rPr>
          <w:rFonts w:ascii="Arial" w:hAnsi="Arial" w:cs="Arial"/>
          <w:b/>
          <w:bCs/>
          <w:i/>
          <w:iCs/>
          <w:sz w:val="20"/>
          <w:szCs w:val="20"/>
        </w:rPr>
        <w:t>5</w:t>
      </w:r>
      <w:r w:rsidRPr="009034DD">
        <w:rPr>
          <w:rFonts w:ascii="Arial" w:hAnsi="Arial" w:cs="Arial"/>
          <w:i/>
          <w:iCs/>
          <w:sz w:val="20"/>
          <w:szCs w:val="20"/>
        </w:rPr>
        <w:t xml:space="preserve">: </w:t>
      </w:r>
      <w:r w:rsidRPr="009034DD">
        <w:rPr>
          <w:rFonts w:ascii="Arial" w:hAnsi="Arial" w:cs="Arial"/>
          <w:i/>
          <w:iCs/>
          <w:sz w:val="20"/>
          <w:szCs w:val="20"/>
          <w:lang w:val="en-GB"/>
        </w:rPr>
        <w:t xml:space="preserve">On the Rx requirements side, for PC2 and </w:t>
      </w:r>
      <w:r w:rsidRPr="009034DD">
        <w:rPr>
          <w:rFonts w:ascii="Arial" w:hAnsi="Arial" w:cs="Arial"/>
          <w:i/>
          <w:iCs/>
          <w:sz w:val="20"/>
          <w:szCs w:val="20"/>
        </w:rPr>
        <w:t xml:space="preserve">PC2 with </w:t>
      </w:r>
      <w:r w:rsidRPr="009034DD">
        <w:rPr>
          <w:rFonts w:ascii="Arial" w:hAnsi="Arial" w:cs="Arial"/>
          <w:i/>
          <w:iCs/>
          <w:sz w:val="20"/>
          <w:szCs w:val="20"/>
          <w:lang w:val="en-GB"/>
        </w:rPr>
        <w:t xml:space="preserve">“increasing UE power high limit”, there would be no difference from </w:t>
      </w:r>
      <w:r w:rsidR="00EA73AA">
        <w:rPr>
          <w:rFonts w:ascii="Arial" w:hAnsi="Arial" w:cs="Arial"/>
          <w:i/>
          <w:iCs/>
          <w:sz w:val="20"/>
          <w:szCs w:val="20"/>
          <w:lang w:val="en-GB"/>
        </w:rPr>
        <w:t xml:space="preserve">the </w:t>
      </w:r>
      <w:r w:rsidRPr="009034DD">
        <w:rPr>
          <w:rFonts w:ascii="Arial" w:hAnsi="Arial" w:cs="Arial"/>
          <w:i/>
          <w:iCs/>
          <w:sz w:val="20"/>
          <w:szCs w:val="20"/>
          <w:lang w:val="en-GB"/>
        </w:rPr>
        <w:t>existing inter-band UL combinations with 2Tx</w:t>
      </w:r>
      <w:r>
        <w:rPr>
          <w:rFonts w:ascii="Arial" w:hAnsi="Arial" w:cs="Arial"/>
          <w:i/>
          <w:iCs/>
          <w:sz w:val="20"/>
          <w:szCs w:val="20"/>
          <w:lang w:val="en-GB"/>
        </w:rPr>
        <w:t>.</w:t>
      </w:r>
    </w:p>
    <w:p w14:paraId="236F655B" w14:textId="77777777" w:rsidR="009034DD" w:rsidRDefault="009034DD" w:rsidP="00255EAC">
      <w:pPr>
        <w:jc w:val="both"/>
        <w:rPr>
          <w:rFonts w:ascii="Arial" w:hAnsi="Arial" w:cs="Arial"/>
          <w:sz w:val="20"/>
          <w:szCs w:val="20"/>
          <w:lang w:val="en-GB"/>
        </w:rPr>
      </w:pPr>
    </w:p>
    <w:p w14:paraId="4C50E1B0" w14:textId="404984F0" w:rsidR="00EA73AA" w:rsidRDefault="00EA73AA" w:rsidP="00EA73AA">
      <w:pPr>
        <w:spacing w:after="120"/>
        <w:jc w:val="both"/>
        <w:rPr>
          <w:rFonts w:ascii="Arial" w:hAnsi="Arial" w:cs="Arial"/>
          <w:i/>
          <w:iCs/>
          <w:sz w:val="20"/>
          <w:szCs w:val="20"/>
          <w:lang w:val="en-GB"/>
        </w:rPr>
      </w:pPr>
      <w:r w:rsidRPr="009034DD">
        <w:rPr>
          <w:rFonts w:ascii="Arial" w:hAnsi="Arial" w:cs="Arial"/>
          <w:b/>
          <w:bCs/>
          <w:i/>
          <w:iCs/>
          <w:sz w:val="20"/>
          <w:szCs w:val="20"/>
        </w:rPr>
        <w:t xml:space="preserve">Observation </w:t>
      </w:r>
      <w:r>
        <w:rPr>
          <w:rFonts w:ascii="Arial" w:hAnsi="Arial" w:cs="Arial"/>
          <w:b/>
          <w:bCs/>
          <w:i/>
          <w:iCs/>
          <w:sz w:val="20"/>
          <w:szCs w:val="20"/>
        </w:rPr>
        <w:t>6</w:t>
      </w:r>
      <w:r w:rsidRPr="009034DD">
        <w:rPr>
          <w:rFonts w:ascii="Arial" w:hAnsi="Arial" w:cs="Arial"/>
          <w:i/>
          <w:iCs/>
          <w:sz w:val="20"/>
          <w:szCs w:val="20"/>
        </w:rPr>
        <w:t xml:space="preserve">: </w:t>
      </w:r>
      <w:r w:rsidRPr="00EA73AA">
        <w:rPr>
          <w:rFonts w:ascii="Arial" w:hAnsi="Arial" w:cs="Arial"/>
          <w:i/>
          <w:iCs/>
          <w:sz w:val="20"/>
          <w:szCs w:val="20"/>
          <w:lang w:val="en-GB"/>
        </w:rPr>
        <w:t xml:space="preserve">For PC1.5 and PC1.5 with “increasing UE power high limit”, there would not be any new </w:t>
      </w:r>
      <w:r>
        <w:rPr>
          <w:rFonts w:ascii="Arial" w:hAnsi="Arial" w:cs="Arial"/>
          <w:i/>
          <w:iCs/>
          <w:sz w:val="20"/>
          <w:szCs w:val="20"/>
          <w:lang w:val="en-GB"/>
        </w:rPr>
        <w:t xml:space="preserve">Rx </w:t>
      </w:r>
      <w:r w:rsidRPr="00EA73AA">
        <w:rPr>
          <w:rFonts w:ascii="Arial" w:hAnsi="Arial" w:cs="Arial"/>
          <w:i/>
          <w:iCs/>
          <w:sz w:val="20"/>
          <w:szCs w:val="20"/>
          <w:lang w:val="en-GB"/>
        </w:rPr>
        <w:t>requirement for TDD+TDD combinations</w:t>
      </w:r>
      <w:r>
        <w:rPr>
          <w:rFonts w:ascii="Arial" w:hAnsi="Arial" w:cs="Arial"/>
          <w:i/>
          <w:iCs/>
          <w:sz w:val="20"/>
          <w:szCs w:val="20"/>
          <w:lang w:val="en-GB"/>
        </w:rPr>
        <w:t>.</w:t>
      </w:r>
    </w:p>
    <w:p w14:paraId="3371CF94" w14:textId="77777777" w:rsidR="00EA73AA" w:rsidRDefault="00EA73AA" w:rsidP="00EA73AA">
      <w:pPr>
        <w:jc w:val="both"/>
        <w:rPr>
          <w:rFonts w:ascii="Arial" w:hAnsi="Arial" w:cs="Arial"/>
          <w:sz w:val="20"/>
          <w:szCs w:val="20"/>
          <w:lang w:val="en-GB"/>
        </w:rPr>
      </w:pPr>
    </w:p>
    <w:p w14:paraId="4687E852" w14:textId="48BC4CAB" w:rsidR="00EA73AA" w:rsidRDefault="00EA73AA" w:rsidP="00EA73AA">
      <w:pPr>
        <w:spacing w:after="120"/>
        <w:jc w:val="both"/>
        <w:rPr>
          <w:rFonts w:ascii="Arial" w:hAnsi="Arial" w:cs="Arial"/>
          <w:i/>
          <w:iCs/>
          <w:sz w:val="20"/>
          <w:szCs w:val="20"/>
          <w:lang w:val="en-GB"/>
        </w:rPr>
      </w:pPr>
      <w:r w:rsidRPr="009034DD">
        <w:rPr>
          <w:rFonts w:ascii="Arial" w:hAnsi="Arial" w:cs="Arial"/>
          <w:b/>
          <w:bCs/>
          <w:i/>
          <w:iCs/>
          <w:sz w:val="20"/>
          <w:szCs w:val="20"/>
        </w:rPr>
        <w:t xml:space="preserve">Observation </w:t>
      </w:r>
      <w:r>
        <w:rPr>
          <w:rFonts w:ascii="Arial" w:hAnsi="Arial" w:cs="Arial"/>
          <w:b/>
          <w:bCs/>
          <w:i/>
          <w:iCs/>
          <w:sz w:val="20"/>
          <w:szCs w:val="20"/>
        </w:rPr>
        <w:t>7</w:t>
      </w:r>
      <w:r w:rsidRPr="009034DD">
        <w:rPr>
          <w:rFonts w:ascii="Arial" w:hAnsi="Arial" w:cs="Arial"/>
          <w:i/>
          <w:iCs/>
          <w:sz w:val="20"/>
          <w:szCs w:val="20"/>
        </w:rPr>
        <w:t xml:space="preserve">: </w:t>
      </w:r>
      <w:r>
        <w:rPr>
          <w:rFonts w:ascii="Arial" w:hAnsi="Arial" w:cs="Arial"/>
          <w:i/>
          <w:iCs/>
          <w:sz w:val="20"/>
          <w:szCs w:val="20"/>
          <w:lang w:val="en-GB"/>
        </w:rPr>
        <w:t>T</w:t>
      </w:r>
      <w:r w:rsidRPr="00EA73AA">
        <w:rPr>
          <w:rFonts w:ascii="Arial" w:hAnsi="Arial" w:cs="Arial"/>
          <w:i/>
          <w:iCs/>
          <w:sz w:val="20"/>
          <w:szCs w:val="20"/>
          <w:lang w:val="en-GB"/>
        </w:rPr>
        <w:t xml:space="preserve">he only potential new </w:t>
      </w:r>
      <w:r>
        <w:rPr>
          <w:rFonts w:ascii="Arial" w:hAnsi="Arial" w:cs="Arial"/>
          <w:i/>
          <w:iCs/>
          <w:sz w:val="20"/>
          <w:szCs w:val="20"/>
          <w:lang w:val="en-GB"/>
        </w:rPr>
        <w:t xml:space="preserve">Rx </w:t>
      </w:r>
      <w:r w:rsidRPr="00EA73AA">
        <w:rPr>
          <w:rFonts w:ascii="Arial" w:hAnsi="Arial" w:cs="Arial"/>
          <w:i/>
          <w:iCs/>
          <w:sz w:val="20"/>
          <w:szCs w:val="20"/>
          <w:lang w:val="en-GB"/>
        </w:rPr>
        <w:t>requirements to be developed are for PC1.5 and PC1.5 with “increasing UE power high limit” for FDD+TDD combinations.</w:t>
      </w:r>
    </w:p>
    <w:p w14:paraId="0B97A67E" w14:textId="77777777" w:rsidR="00EA73AA" w:rsidRDefault="00EA73AA" w:rsidP="00EA73AA">
      <w:pPr>
        <w:jc w:val="both"/>
        <w:rPr>
          <w:rFonts w:ascii="Arial" w:hAnsi="Arial" w:cs="Arial"/>
          <w:sz w:val="20"/>
          <w:szCs w:val="20"/>
          <w:lang w:val="en-GB"/>
        </w:rPr>
      </w:pPr>
    </w:p>
    <w:p w14:paraId="71961E92" w14:textId="7696A07C" w:rsidR="00C36480" w:rsidRDefault="00216772" w:rsidP="00423B10">
      <w:pPr>
        <w:spacing w:after="120"/>
        <w:jc w:val="both"/>
        <w:rPr>
          <w:rFonts w:ascii="Arial" w:hAnsi="Arial" w:cs="Arial"/>
          <w:sz w:val="20"/>
          <w:szCs w:val="20"/>
        </w:rPr>
      </w:pPr>
      <w:r>
        <w:rPr>
          <w:rFonts w:ascii="Arial" w:hAnsi="Arial" w:cs="Arial"/>
          <w:sz w:val="20"/>
          <w:szCs w:val="20"/>
          <w:lang w:val="en-GB"/>
        </w:rPr>
        <w:t>In summary, w</w:t>
      </w:r>
      <w:r w:rsidRPr="00FF17F2">
        <w:rPr>
          <w:rFonts w:ascii="Arial" w:hAnsi="Arial" w:cs="Arial"/>
          <w:sz w:val="20"/>
          <w:szCs w:val="20"/>
          <w:lang w:val="en-GB"/>
        </w:rPr>
        <w:t xml:space="preserve">ith the anticipation that there is none or limited new UE RF requirements to be specified to support </w:t>
      </w:r>
      <w:r>
        <w:rPr>
          <w:rFonts w:ascii="Arial" w:hAnsi="Arial" w:cs="Arial"/>
          <w:sz w:val="20"/>
          <w:szCs w:val="20"/>
          <w:lang w:val="en-GB"/>
        </w:rPr>
        <w:t>the above UL</w:t>
      </w:r>
      <w:r w:rsidRPr="00FF17F2">
        <w:rPr>
          <w:rFonts w:ascii="Arial" w:hAnsi="Arial" w:cs="Arial"/>
          <w:sz w:val="20"/>
          <w:szCs w:val="20"/>
          <w:lang w:val="en-GB"/>
        </w:rPr>
        <w:t xml:space="preserve"> configurations</w:t>
      </w:r>
      <w:r>
        <w:rPr>
          <w:rFonts w:ascii="Arial" w:hAnsi="Arial" w:cs="Arial"/>
          <w:sz w:val="20"/>
          <w:szCs w:val="20"/>
          <w:lang w:val="en-GB"/>
        </w:rPr>
        <w:t xml:space="preserve">, we propose the following objectives to be included in the Rel-18 new WID for HPUE with </w:t>
      </w:r>
      <w:r w:rsidRPr="00216772">
        <w:rPr>
          <w:rFonts w:ascii="Arial" w:hAnsi="Arial" w:cs="Arial"/>
          <w:sz w:val="20"/>
          <w:szCs w:val="20"/>
        </w:rPr>
        <w:t>simultaneous 2Tx and 3Tx</w:t>
      </w:r>
      <w:r w:rsidR="00E0765D">
        <w:rPr>
          <w:rFonts w:ascii="Arial" w:hAnsi="Arial" w:cs="Arial"/>
          <w:sz w:val="20"/>
          <w:szCs w:val="20"/>
        </w:rPr>
        <w:t xml:space="preserve"> [2]</w:t>
      </w:r>
      <w:r>
        <w:rPr>
          <w:rFonts w:ascii="Arial" w:hAnsi="Arial" w:cs="Arial"/>
          <w:sz w:val="20"/>
          <w:szCs w:val="20"/>
        </w:rPr>
        <w:t xml:space="preserve">. </w:t>
      </w:r>
      <w:r w:rsidR="00C36480">
        <w:rPr>
          <w:rFonts w:ascii="Arial" w:hAnsi="Arial" w:cs="Arial"/>
          <w:sz w:val="20"/>
          <w:szCs w:val="20"/>
        </w:rPr>
        <w:t>We think these enhanced UL features can immensely benefit the UE UL coverage as well as throughput performance and shall be developed sooner than later.</w:t>
      </w:r>
    </w:p>
    <w:p w14:paraId="6AD08309" w14:textId="50BFA44F" w:rsidR="002A394A" w:rsidRPr="009918E9" w:rsidRDefault="002A394A" w:rsidP="002A394A">
      <w:pPr>
        <w:jc w:val="both"/>
        <w:rPr>
          <w:rFonts w:ascii="Arial" w:hAnsi="Arial" w:cs="Arial"/>
          <w:sz w:val="20"/>
          <w:szCs w:val="20"/>
        </w:rPr>
      </w:pPr>
    </w:p>
    <w:p w14:paraId="34C99636" w14:textId="57E85C48" w:rsidR="008E7986" w:rsidRDefault="008E7986" w:rsidP="002A394A">
      <w:pPr>
        <w:pStyle w:val="Heading1"/>
        <w:spacing w:before="120" w:after="120"/>
        <w:ind w:left="1138" w:hanging="1138"/>
      </w:pPr>
      <w:r>
        <w:t>3</w:t>
      </w:r>
      <w:r>
        <w:tab/>
      </w:r>
      <w:r w:rsidR="00C36480">
        <w:t>Proposed objectives</w:t>
      </w:r>
    </w:p>
    <w:p w14:paraId="673660DA" w14:textId="77777777" w:rsidR="004768DA" w:rsidRDefault="004768DA" w:rsidP="004768DA">
      <w:pPr>
        <w:jc w:val="both"/>
        <w:rPr>
          <w:rFonts w:ascii="Arial" w:hAnsi="Arial" w:cs="Arial"/>
        </w:rPr>
      </w:pPr>
    </w:p>
    <w:p w14:paraId="5FC7638C" w14:textId="77777777" w:rsidR="00C36480" w:rsidRPr="00C36480" w:rsidRDefault="00C36480" w:rsidP="00C36480">
      <w:pPr>
        <w:numPr>
          <w:ilvl w:val="0"/>
          <w:numId w:val="22"/>
        </w:numPr>
        <w:overflowPunct w:val="0"/>
        <w:autoSpaceDE w:val="0"/>
        <w:autoSpaceDN w:val="0"/>
        <w:adjustRightInd w:val="0"/>
        <w:spacing w:after="180"/>
        <w:textAlignment w:val="baseline"/>
        <w:rPr>
          <w:rFonts w:ascii="Arial" w:hAnsi="Arial" w:cs="Arial"/>
          <w:b/>
          <w:sz w:val="20"/>
          <w:szCs w:val="20"/>
        </w:rPr>
      </w:pPr>
      <w:r w:rsidRPr="00C36480">
        <w:rPr>
          <w:rFonts w:ascii="Arial" w:hAnsi="Arial" w:cs="Arial"/>
          <w:b/>
          <w:sz w:val="20"/>
          <w:szCs w:val="20"/>
        </w:rPr>
        <w:t xml:space="preserve">Introduction of PC1.5 for TDD (PC2) + TDD (PC2) inter-band UL CA or DC </w:t>
      </w:r>
    </w:p>
    <w:p w14:paraId="7F42DF8D" w14:textId="77777777" w:rsidR="00C36480" w:rsidRPr="00C36480" w:rsidRDefault="00C36480" w:rsidP="00C36480">
      <w:pPr>
        <w:numPr>
          <w:ilvl w:val="1"/>
          <w:numId w:val="23"/>
        </w:numPr>
        <w:overflowPunct w:val="0"/>
        <w:autoSpaceDE w:val="0"/>
        <w:autoSpaceDN w:val="0"/>
        <w:adjustRightInd w:val="0"/>
        <w:spacing w:after="180"/>
        <w:ind w:left="706" w:hanging="288"/>
        <w:jc w:val="both"/>
        <w:textAlignment w:val="baseline"/>
        <w:rPr>
          <w:rFonts w:ascii="Arial" w:hAnsi="Arial" w:cs="Arial"/>
          <w:sz w:val="20"/>
          <w:szCs w:val="20"/>
        </w:rPr>
      </w:pPr>
      <w:r w:rsidRPr="00C36480">
        <w:rPr>
          <w:rFonts w:ascii="Arial" w:hAnsi="Arial" w:cs="Arial"/>
          <w:bCs/>
          <w:sz w:val="20"/>
          <w:szCs w:val="20"/>
        </w:rPr>
        <w:t>Investigate and specify, if needed, any new general UE RF requirement to support the configuration.</w:t>
      </w:r>
    </w:p>
    <w:p w14:paraId="4387216E" w14:textId="77777777" w:rsidR="00C36480" w:rsidRPr="00C36480" w:rsidRDefault="00C36480" w:rsidP="00C36480">
      <w:pPr>
        <w:numPr>
          <w:ilvl w:val="1"/>
          <w:numId w:val="23"/>
        </w:numPr>
        <w:overflowPunct w:val="0"/>
        <w:autoSpaceDE w:val="0"/>
        <w:autoSpaceDN w:val="0"/>
        <w:adjustRightInd w:val="0"/>
        <w:spacing w:after="180"/>
        <w:ind w:left="706" w:hanging="288"/>
        <w:jc w:val="both"/>
        <w:textAlignment w:val="baseline"/>
        <w:rPr>
          <w:rFonts w:ascii="Arial" w:hAnsi="Arial" w:cs="Arial"/>
          <w:sz w:val="20"/>
          <w:szCs w:val="20"/>
        </w:rPr>
      </w:pPr>
      <w:r w:rsidRPr="00C36480">
        <w:rPr>
          <w:rFonts w:ascii="Arial" w:hAnsi="Arial" w:cs="Arial"/>
          <w:bCs/>
          <w:sz w:val="20"/>
          <w:szCs w:val="20"/>
        </w:rPr>
        <w:t xml:space="preserve">Specify, if needed, any band combination specific UE RF requirement to support the following example band combination. </w:t>
      </w:r>
    </w:p>
    <w:p w14:paraId="321A4085" w14:textId="0903CA99" w:rsidR="00C36480" w:rsidRPr="00C36480" w:rsidRDefault="00C36480" w:rsidP="00C36480">
      <w:pPr>
        <w:numPr>
          <w:ilvl w:val="1"/>
          <w:numId w:val="23"/>
        </w:numPr>
        <w:overflowPunct w:val="0"/>
        <w:autoSpaceDE w:val="0"/>
        <w:autoSpaceDN w:val="0"/>
        <w:adjustRightInd w:val="0"/>
        <w:spacing w:after="180"/>
        <w:ind w:left="706" w:hanging="288"/>
        <w:jc w:val="both"/>
        <w:textAlignment w:val="baseline"/>
        <w:rPr>
          <w:rFonts w:ascii="Arial" w:hAnsi="Arial" w:cs="Arial"/>
          <w:sz w:val="20"/>
          <w:szCs w:val="20"/>
        </w:rPr>
      </w:pPr>
      <w:r w:rsidRPr="00C36480">
        <w:rPr>
          <w:rFonts w:ascii="Arial" w:hAnsi="Arial" w:cs="Arial"/>
          <w:sz w:val="20"/>
          <w:szCs w:val="20"/>
          <w:lang w:eastAsia="zh-CN"/>
        </w:rPr>
        <w:t>Example band combination, CA_n41</w:t>
      </w:r>
      <w:r w:rsidR="00816333">
        <w:rPr>
          <w:rFonts w:ascii="Arial" w:hAnsi="Arial" w:cs="Arial"/>
          <w:sz w:val="20"/>
          <w:szCs w:val="20"/>
          <w:lang w:eastAsia="zh-CN"/>
        </w:rPr>
        <w:t>A</w:t>
      </w:r>
      <w:r w:rsidRPr="00C36480">
        <w:rPr>
          <w:rFonts w:ascii="Arial" w:hAnsi="Arial" w:cs="Arial"/>
          <w:sz w:val="20"/>
          <w:szCs w:val="20"/>
          <w:lang w:eastAsia="zh-CN"/>
        </w:rPr>
        <w:t>-n77</w:t>
      </w:r>
      <w:r w:rsidR="00816333">
        <w:rPr>
          <w:rFonts w:ascii="Arial" w:hAnsi="Arial" w:cs="Arial"/>
          <w:sz w:val="20"/>
          <w:szCs w:val="20"/>
          <w:lang w:eastAsia="zh-CN"/>
        </w:rPr>
        <w:t>A</w:t>
      </w:r>
    </w:p>
    <w:p w14:paraId="3429F3B3" w14:textId="77777777" w:rsidR="00C36480" w:rsidRPr="00C36480" w:rsidRDefault="00C36480" w:rsidP="00C36480">
      <w:pPr>
        <w:numPr>
          <w:ilvl w:val="0"/>
          <w:numId w:val="22"/>
        </w:numPr>
        <w:overflowPunct w:val="0"/>
        <w:autoSpaceDE w:val="0"/>
        <w:autoSpaceDN w:val="0"/>
        <w:adjustRightInd w:val="0"/>
        <w:spacing w:after="180"/>
        <w:textAlignment w:val="baseline"/>
        <w:rPr>
          <w:rFonts w:ascii="Arial" w:hAnsi="Arial" w:cs="Arial"/>
          <w:b/>
          <w:sz w:val="20"/>
          <w:szCs w:val="20"/>
        </w:rPr>
      </w:pPr>
      <w:r w:rsidRPr="00C36480">
        <w:rPr>
          <w:rFonts w:ascii="Arial" w:hAnsi="Arial" w:cs="Arial"/>
          <w:b/>
          <w:sz w:val="20"/>
          <w:szCs w:val="20"/>
        </w:rPr>
        <w:t>2-band inter-band UL CA or DC with simultaneous 3Tx</w:t>
      </w:r>
    </w:p>
    <w:p w14:paraId="4876FB82" w14:textId="77777777" w:rsidR="00C36480" w:rsidRPr="00C36480" w:rsidRDefault="00C36480" w:rsidP="00C36480">
      <w:pPr>
        <w:numPr>
          <w:ilvl w:val="1"/>
          <w:numId w:val="24"/>
        </w:numPr>
        <w:overflowPunct w:val="0"/>
        <w:autoSpaceDE w:val="0"/>
        <w:autoSpaceDN w:val="0"/>
        <w:adjustRightInd w:val="0"/>
        <w:spacing w:after="180"/>
        <w:ind w:left="706" w:hanging="288"/>
        <w:textAlignment w:val="baseline"/>
        <w:rPr>
          <w:rFonts w:ascii="Arial" w:hAnsi="Arial" w:cs="Arial"/>
          <w:sz w:val="20"/>
          <w:szCs w:val="20"/>
        </w:rPr>
      </w:pPr>
      <w:r w:rsidRPr="00C36480">
        <w:rPr>
          <w:rFonts w:ascii="Arial" w:hAnsi="Arial" w:cs="Arial"/>
          <w:sz w:val="20"/>
          <w:szCs w:val="20"/>
        </w:rPr>
        <w:t>PC2</w:t>
      </w:r>
    </w:p>
    <w:p w14:paraId="179B9022" w14:textId="5F0DBA36" w:rsidR="00C36480" w:rsidRPr="00C36480" w:rsidRDefault="00C36480" w:rsidP="00C36480">
      <w:pPr>
        <w:numPr>
          <w:ilvl w:val="2"/>
          <w:numId w:val="29"/>
        </w:numPr>
        <w:overflowPunct w:val="0"/>
        <w:autoSpaceDE w:val="0"/>
        <w:autoSpaceDN w:val="0"/>
        <w:adjustRightInd w:val="0"/>
        <w:spacing w:after="180"/>
        <w:ind w:left="1008" w:hanging="288"/>
        <w:textAlignment w:val="baseline"/>
        <w:rPr>
          <w:rFonts w:ascii="Arial" w:hAnsi="Arial" w:cs="Arial"/>
          <w:sz w:val="20"/>
          <w:szCs w:val="20"/>
        </w:rPr>
      </w:pPr>
      <w:r w:rsidRPr="00C36480">
        <w:rPr>
          <w:rFonts w:ascii="Arial" w:hAnsi="Arial" w:cs="Arial"/>
          <w:sz w:val="20"/>
          <w:szCs w:val="20"/>
        </w:rPr>
        <w:t>PC3 TDD 1Tx + PC3 TDD 2Tx (example band combination: CA_n41</w:t>
      </w:r>
      <w:r w:rsidR="00816333">
        <w:rPr>
          <w:rFonts w:ascii="Arial" w:hAnsi="Arial" w:cs="Arial"/>
          <w:sz w:val="20"/>
          <w:szCs w:val="20"/>
        </w:rPr>
        <w:t>A</w:t>
      </w:r>
      <w:r w:rsidRPr="00C36480">
        <w:rPr>
          <w:rFonts w:ascii="Arial" w:hAnsi="Arial" w:cs="Arial"/>
          <w:sz w:val="20"/>
          <w:szCs w:val="20"/>
        </w:rPr>
        <w:t>-n77</w:t>
      </w:r>
      <w:r w:rsidR="00816333">
        <w:rPr>
          <w:rFonts w:ascii="Arial" w:hAnsi="Arial" w:cs="Arial"/>
          <w:sz w:val="20"/>
          <w:szCs w:val="20"/>
        </w:rPr>
        <w:t>A</w:t>
      </w:r>
      <w:r w:rsidRPr="00C36480">
        <w:rPr>
          <w:rFonts w:ascii="Arial" w:hAnsi="Arial" w:cs="Arial"/>
          <w:sz w:val="20"/>
          <w:szCs w:val="20"/>
        </w:rPr>
        <w:t>)</w:t>
      </w:r>
    </w:p>
    <w:p w14:paraId="45F51D07" w14:textId="269824FB" w:rsidR="00C36480" w:rsidRPr="00C36480" w:rsidRDefault="00C36480" w:rsidP="00C36480">
      <w:pPr>
        <w:numPr>
          <w:ilvl w:val="2"/>
          <w:numId w:val="29"/>
        </w:numPr>
        <w:overflowPunct w:val="0"/>
        <w:autoSpaceDE w:val="0"/>
        <w:autoSpaceDN w:val="0"/>
        <w:adjustRightInd w:val="0"/>
        <w:spacing w:after="180"/>
        <w:ind w:left="1008" w:hanging="288"/>
        <w:textAlignment w:val="baseline"/>
        <w:rPr>
          <w:rFonts w:ascii="Arial" w:hAnsi="Arial" w:cs="Arial"/>
          <w:sz w:val="20"/>
          <w:szCs w:val="20"/>
        </w:rPr>
      </w:pPr>
      <w:r w:rsidRPr="00C36480">
        <w:rPr>
          <w:rFonts w:ascii="Arial" w:hAnsi="Arial" w:cs="Arial"/>
          <w:sz w:val="20"/>
          <w:szCs w:val="20"/>
          <w:lang w:eastAsia="zh-CN"/>
        </w:rPr>
        <w:t>PC3 FDD 1Tx + PC3 TDD 2Tx (example band combination</w:t>
      </w:r>
      <w:r w:rsidR="00816333">
        <w:rPr>
          <w:rFonts w:ascii="Arial" w:hAnsi="Arial" w:cs="Arial"/>
          <w:sz w:val="20"/>
          <w:szCs w:val="20"/>
          <w:lang w:eastAsia="zh-CN"/>
        </w:rPr>
        <w:t>s</w:t>
      </w:r>
      <w:r w:rsidRPr="00C36480">
        <w:rPr>
          <w:rFonts w:ascii="Arial" w:hAnsi="Arial" w:cs="Arial"/>
          <w:sz w:val="20"/>
          <w:szCs w:val="20"/>
          <w:lang w:eastAsia="zh-CN"/>
        </w:rPr>
        <w:t>: CA_n3</w:t>
      </w:r>
      <w:r w:rsidR="00816333">
        <w:rPr>
          <w:rFonts w:ascii="Arial" w:hAnsi="Arial" w:cs="Arial"/>
          <w:sz w:val="20"/>
          <w:szCs w:val="20"/>
          <w:lang w:eastAsia="zh-CN"/>
        </w:rPr>
        <w:t>A</w:t>
      </w:r>
      <w:r w:rsidRPr="00C36480">
        <w:rPr>
          <w:rFonts w:ascii="Arial" w:hAnsi="Arial" w:cs="Arial"/>
          <w:sz w:val="20"/>
          <w:szCs w:val="20"/>
          <w:lang w:eastAsia="zh-CN"/>
        </w:rPr>
        <w:t>-n</w:t>
      </w:r>
      <w:r w:rsidR="00816333">
        <w:rPr>
          <w:rFonts w:ascii="Arial" w:hAnsi="Arial" w:cs="Arial"/>
          <w:sz w:val="20"/>
          <w:szCs w:val="20"/>
          <w:lang w:eastAsia="zh-CN"/>
        </w:rPr>
        <w:t>78A, CA_n</w:t>
      </w:r>
      <w:r w:rsidR="00782AD9">
        <w:rPr>
          <w:rFonts w:ascii="Arial" w:hAnsi="Arial" w:cs="Arial"/>
          <w:sz w:val="20"/>
          <w:szCs w:val="20"/>
          <w:lang w:eastAsia="zh-CN"/>
        </w:rPr>
        <w:t>41</w:t>
      </w:r>
      <w:r w:rsidR="00816333">
        <w:rPr>
          <w:rFonts w:ascii="Arial" w:hAnsi="Arial" w:cs="Arial"/>
          <w:sz w:val="20"/>
          <w:szCs w:val="20"/>
          <w:lang w:eastAsia="zh-CN"/>
        </w:rPr>
        <w:t>A-n</w:t>
      </w:r>
      <w:r w:rsidR="00782AD9">
        <w:rPr>
          <w:rFonts w:ascii="Arial" w:hAnsi="Arial" w:cs="Arial"/>
          <w:sz w:val="20"/>
          <w:szCs w:val="20"/>
          <w:lang w:eastAsia="zh-CN"/>
        </w:rPr>
        <w:t>7</w:t>
      </w:r>
      <w:r w:rsidR="00816333">
        <w:rPr>
          <w:rFonts w:ascii="Arial" w:hAnsi="Arial" w:cs="Arial"/>
          <w:sz w:val="20"/>
          <w:szCs w:val="20"/>
          <w:lang w:eastAsia="zh-CN"/>
        </w:rPr>
        <w:t>1A</w:t>
      </w:r>
      <w:r w:rsidRPr="00C36480">
        <w:rPr>
          <w:rFonts w:ascii="Arial" w:hAnsi="Arial" w:cs="Arial"/>
          <w:sz w:val="20"/>
          <w:szCs w:val="20"/>
          <w:lang w:eastAsia="zh-CN"/>
        </w:rPr>
        <w:t>)</w:t>
      </w:r>
    </w:p>
    <w:p w14:paraId="6767639E" w14:textId="77777777" w:rsidR="00C36480" w:rsidRPr="00C36480" w:rsidRDefault="00C36480" w:rsidP="00C36480">
      <w:pPr>
        <w:numPr>
          <w:ilvl w:val="1"/>
          <w:numId w:val="25"/>
        </w:numPr>
        <w:overflowPunct w:val="0"/>
        <w:autoSpaceDE w:val="0"/>
        <w:autoSpaceDN w:val="0"/>
        <w:adjustRightInd w:val="0"/>
        <w:spacing w:after="180"/>
        <w:ind w:left="706" w:hanging="288"/>
        <w:textAlignment w:val="baseline"/>
        <w:rPr>
          <w:rFonts w:ascii="Arial" w:hAnsi="Arial" w:cs="Arial"/>
          <w:sz w:val="20"/>
          <w:szCs w:val="20"/>
        </w:rPr>
      </w:pPr>
      <w:r w:rsidRPr="00C36480">
        <w:rPr>
          <w:rFonts w:ascii="Arial" w:hAnsi="Arial" w:cs="Arial"/>
          <w:sz w:val="20"/>
          <w:szCs w:val="20"/>
        </w:rPr>
        <w:t xml:space="preserve">PC2 with </w:t>
      </w:r>
      <w:r w:rsidRPr="00C36480">
        <w:rPr>
          <w:rFonts w:ascii="Arial" w:eastAsia="SimSun" w:hAnsi="Arial" w:cs="Arial"/>
          <w:sz w:val="20"/>
          <w:szCs w:val="20"/>
          <w:lang w:eastAsia="zh-CN"/>
        </w:rPr>
        <w:t>“increasing UE power high limit” feature</w:t>
      </w:r>
    </w:p>
    <w:p w14:paraId="04658895" w14:textId="47C4B67B" w:rsidR="00C36480" w:rsidRPr="00C36480" w:rsidRDefault="00C36480" w:rsidP="00C36480">
      <w:pPr>
        <w:numPr>
          <w:ilvl w:val="2"/>
          <w:numId w:val="30"/>
        </w:numPr>
        <w:overflowPunct w:val="0"/>
        <w:autoSpaceDE w:val="0"/>
        <w:autoSpaceDN w:val="0"/>
        <w:adjustRightInd w:val="0"/>
        <w:spacing w:after="180"/>
        <w:ind w:left="1008" w:hanging="288"/>
        <w:textAlignment w:val="baseline"/>
        <w:rPr>
          <w:rFonts w:ascii="Arial" w:hAnsi="Arial" w:cs="Arial"/>
          <w:sz w:val="20"/>
          <w:szCs w:val="20"/>
        </w:rPr>
      </w:pPr>
      <w:r w:rsidRPr="00C36480">
        <w:rPr>
          <w:rFonts w:ascii="Arial" w:hAnsi="Arial" w:cs="Arial"/>
          <w:sz w:val="20"/>
          <w:szCs w:val="20"/>
        </w:rPr>
        <w:t>PC3 TDD 1Tx + PC2 TDD 2Tx (example band combination: CA_n41</w:t>
      </w:r>
      <w:r w:rsidR="00816333">
        <w:rPr>
          <w:rFonts w:ascii="Arial" w:hAnsi="Arial" w:cs="Arial"/>
          <w:sz w:val="20"/>
          <w:szCs w:val="20"/>
        </w:rPr>
        <w:t>A</w:t>
      </w:r>
      <w:r w:rsidRPr="00C36480">
        <w:rPr>
          <w:rFonts w:ascii="Arial" w:hAnsi="Arial" w:cs="Arial"/>
          <w:sz w:val="20"/>
          <w:szCs w:val="20"/>
        </w:rPr>
        <w:t>-n77</w:t>
      </w:r>
      <w:r w:rsidR="00816333">
        <w:rPr>
          <w:rFonts w:ascii="Arial" w:hAnsi="Arial" w:cs="Arial"/>
          <w:sz w:val="20"/>
          <w:szCs w:val="20"/>
        </w:rPr>
        <w:t>A</w:t>
      </w:r>
      <w:r w:rsidRPr="00C36480">
        <w:rPr>
          <w:rFonts w:ascii="Arial" w:hAnsi="Arial" w:cs="Arial"/>
          <w:sz w:val="20"/>
          <w:szCs w:val="20"/>
        </w:rPr>
        <w:t>)</w:t>
      </w:r>
    </w:p>
    <w:p w14:paraId="463569FC" w14:textId="6ADFC9F5" w:rsidR="00C36480" w:rsidRPr="00C36480" w:rsidRDefault="00C36480" w:rsidP="00C36480">
      <w:pPr>
        <w:numPr>
          <w:ilvl w:val="2"/>
          <w:numId w:val="30"/>
        </w:numPr>
        <w:overflowPunct w:val="0"/>
        <w:autoSpaceDE w:val="0"/>
        <w:autoSpaceDN w:val="0"/>
        <w:adjustRightInd w:val="0"/>
        <w:spacing w:after="180"/>
        <w:ind w:left="1008" w:hanging="288"/>
        <w:textAlignment w:val="baseline"/>
        <w:rPr>
          <w:rFonts w:ascii="Arial" w:hAnsi="Arial" w:cs="Arial"/>
          <w:sz w:val="20"/>
          <w:szCs w:val="20"/>
        </w:rPr>
      </w:pPr>
      <w:r w:rsidRPr="00C36480">
        <w:rPr>
          <w:rFonts w:ascii="Arial" w:hAnsi="Arial" w:cs="Arial"/>
          <w:sz w:val="20"/>
          <w:szCs w:val="20"/>
          <w:lang w:eastAsia="zh-CN"/>
        </w:rPr>
        <w:t>PC3 FDD 1Tx + PC2 TDD 2Tx (example band combination</w:t>
      </w:r>
      <w:r w:rsidR="00816333">
        <w:rPr>
          <w:rFonts w:ascii="Arial" w:hAnsi="Arial" w:cs="Arial"/>
          <w:sz w:val="20"/>
          <w:szCs w:val="20"/>
          <w:lang w:eastAsia="zh-CN"/>
        </w:rPr>
        <w:t>s</w:t>
      </w:r>
      <w:r w:rsidRPr="00C36480">
        <w:rPr>
          <w:rFonts w:ascii="Arial" w:hAnsi="Arial" w:cs="Arial"/>
          <w:sz w:val="20"/>
          <w:szCs w:val="20"/>
          <w:lang w:eastAsia="zh-CN"/>
        </w:rPr>
        <w:t>: CA_n3</w:t>
      </w:r>
      <w:r w:rsidR="00816333">
        <w:rPr>
          <w:rFonts w:ascii="Arial" w:hAnsi="Arial" w:cs="Arial"/>
          <w:sz w:val="20"/>
          <w:szCs w:val="20"/>
          <w:lang w:eastAsia="zh-CN"/>
        </w:rPr>
        <w:t>A</w:t>
      </w:r>
      <w:r w:rsidRPr="00C36480">
        <w:rPr>
          <w:rFonts w:ascii="Arial" w:hAnsi="Arial" w:cs="Arial"/>
          <w:sz w:val="20"/>
          <w:szCs w:val="20"/>
          <w:lang w:eastAsia="zh-CN"/>
        </w:rPr>
        <w:t>-n</w:t>
      </w:r>
      <w:r w:rsidR="00816333">
        <w:rPr>
          <w:rFonts w:ascii="Arial" w:hAnsi="Arial" w:cs="Arial"/>
          <w:sz w:val="20"/>
          <w:szCs w:val="20"/>
          <w:lang w:eastAsia="zh-CN"/>
        </w:rPr>
        <w:t>78A, CA_n</w:t>
      </w:r>
      <w:r w:rsidR="00782AD9">
        <w:rPr>
          <w:rFonts w:ascii="Arial" w:hAnsi="Arial" w:cs="Arial"/>
          <w:sz w:val="20"/>
          <w:szCs w:val="20"/>
          <w:lang w:eastAsia="zh-CN"/>
        </w:rPr>
        <w:t>41</w:t>
      </w:r>
      <w:r w:rsidR="00816333">
        <w:rPr>
          <w:rFonts w:ascii="Arial" w:hAnsi="Arial" w:cs="Arial"/>
          <w:sz w:val="20"/>
          <w:szCs w:val="20"/>
          <w:lang w:eastAsia="zh-CN"/>
        </w:rPr>
        <w:t>A-n</w:t>
      </w:r>
      <w:r w:rsidR="00782AD9">
        <w:rPr>
          <w:rFonts w:ascii="Arial" w:hAnsi="Arial" w:cs="Arial"/>
          <w:sz w:val="20"/>
          <w:szCs w:val="20"/>
          <w:lang w:eastAsia="zh-CN"/>
        </w:rPr>
        <w:t>7</w:t>
      </w:r>
      <w:r w:rsidR="00816333">
        <w:rPr>
          <w:rFonts w:ascii="Arial" w:hAnsi="Arial" w:cs="Arial"/>
          <w:sz w:val="20"/>
          <w:szCs w:val="20"/>
          <w:lang w:eastAsia="zh-CN"/>
        </w:rPr>
        <w:t>1A</w:t>
      </w:r>
      <w:r w:rsidRPr="00C36480">
        <w:rPr>
          <w:rFonts w:ascii="Arial" w:hAnsi="Arial" w:cs="Arial"/>
          <w:sz w:val="20"/>
          <w:szCs w:val="20"/>
          <w:lang w:eastAsia="zh-CN"/>
        </w:rPr>
        <w:t>)</w:t>
      </w:r>
    </w:p>
    <w:p w14:paraId="0A2FC8AF" w14:textId="77777777" w:rsidR="00C36480" w:rsidRPr="00C36480" w:rsidRDefault="00C36480" w:rsidP="00C36480">
      <w:pPr>
        <w:numPr>
          <w:ilvl w:val="1"/>
          <w:numId w:val="26"/>
        </w:numPr>
        <w:overflowPunct w:val="0"/>
        <w:autoSpaceDE w:val="0"/>
        <w:autoSpaceDN w:val="0"/>
        <w:adjustRightInd w:val="0"/>
        <w:spacing w:after="180"/>
        <w:ind w:left="706" w:hanging="288"/>
        <w:textAlignment w:val="baseline"/>
        <w:rPr>
          <w:rFonts w:ascii="Arial" w:hAnsi="Arial" w:cs="Arial"/>
          <w:sz w:val="20"/>
          <w:szCs w:val="20"/>
        </w:rPr>
      </w:pPr>
      <w:r w:rsidRPr="00C36480">
        <w:rPr>
          <w:rFonts w:ascii="Arial" w:hAnsi="Arial" w:cs="Arial"/>
          <w:sz w:val="20"/>
          <w:szCs w:val="20"/>
          <w:lang w:eastAsia="zh-CN"/>
        </w:rPr>
        <w:t>PC1.5</w:t>
      </w:r>
    </w:p>
    <w:p w14:paraId="663296C5" w14:textId="42F3F6B7" w:rsidR="00C36480" w:rsidRPr="00C36480" w:rsidRDefault="00C36480" w:rsidP="00C36480">
      <w:pPr>
        <w:numPr>
          <w:ilvl w:val="2"/>
          <w:numId w:val="31"/>
        </w:numPr>
        <w:overflowPunct w:val="0"/>
        <w:autoSpaceDE w:val="0"/>
        <w:autoSpaceDN w:val="0"/>
        <w:adjustRightInd w:val="0"/>
        <w:spacing w:after="180"/>
        <w:ind w:left="1008" w:hanging="288"/>
        <w:textAlignment w:val="baseline"/>
        <w:rPr>
          <w:rFonts w:ascii="Arial" w:hAnsi="Arial" w:cs="Arial"/>
          <w:sz w:val="20"/>
          <w:szCs w:val="20"/>
        </w:rPr>
      </w:pPr>
      <w:r w:rsidRPr="00C36480">
        <w:rPr>
          <w:rFonts w:ascii="Arial" w:hAnsi="Arial" w:cs="Arial"/>
          <w:sz w:val="20"/>
          <w:szCs w:val="20"/>
        </w:rPr>
        <w:lastRenderedPageBreak/>
        <w:t>PC2 TDD 1Tx + PC2 TDD 2Tx (example band combination: CA_n41</w:t>
      </w:r>
      <w:r w:rsidR="00816333">
        <w:rPr>
          <w:rFonts w:ascii="Arial" w:hAnsi="Arial" w:cs="Arial"/>
          <w:sz w:val="20"/>
          <w:szCs w:val="20"/>
        </w:rPr>
        <w:t>A</w:t>
      </w:r>
      <w:r w:rsidRPr="00C36480">
        <w:rPr>
          <w:rFonts w:ascii="Arial" w:hAnsi="Arial" w:cs="Arial"/>
          <w:sz w:val="20"/>
          <w:szCs w:val="20"/>
        </w:rPr>
        <w:t>-n77</w:t>
      </w:r>
      <w:r w:rsidR="00816333">
        <w:rPr>
          <w:rFonts w:ascii="Arial" w:hAnsi="Arial" w:cs="Arial"/>
          <w:sz w:val="20"/>
          <w:szCs w:val="20"/>
        </w:rPr>
        <w:t>A</w:t>
      </w:r>
      <w:r w:rsidRPr="00C36480">
        <w:rPr>
          <w:rFonts w:ascii="Arial" w:hAnsi="Arial" w:cs="Arial"/>
          <w:sz w:val="20"/>
          <w:szCs w:val="20"/>
        </w:rPr>
        <w:t>)</w:t>
      </w:r>
    </w:p>
    <w:p w14:paraId="3DCF026C" w14:textId="77777777" w:rsidR="00C36480" w:rsidRPr="00C36480" w:rsidRDefault="00C36480" w:rsidP="00C36480">
      <w:pPr>
        <w:numPr>
          <w:ilvl w:val="1"/>
          <w:numId w:val="27"/>
        </w:numPr>
        <w:overflowPunct w:val="0"/>
        <w:autoSpaceDE w:val="0"/>
        <w:autoSpaceDN w:val="0"/>
        <w:adjustRightInd w:val="0"/>
        <w:spacing w:after="180"/>
        <w:ind w:left="706" w:hanging="288"/>
        <w:textAlignment w:val="baseline"/>
        <w:rPr>
          <w:rFonts w:ascii="Arial" w:hAnsi="Arial" w:cs="Arial"/>
          <w:sz w:val="20"/>
          <w:szCs w:val="20"/>
        </w:rPr>
      </w:pPr>
      <w:r w:rsidRPr="00C36480">
        <w:rPr>
          <w:rFonts w:ascii="Arial" w:hAnsi="Arial" w:cs="Arial"/>
          <w:sz w:val="20"/>
          <w:szCs w:val="20"/>
          <w:lang w:eastAsia="zh-CN"/>
        </w:rPr>
        <w:t xml:space="preserve">PC1.5 </w:t>
      </w:r>
      <w:r w:rsidRPr="00C36480">
        <w:rPr>
          <w:rFonts w:ascii="Arial" w:hAnsi="Arial" w:cs="Arial"/>
          <w:sz w:val="20"/>
          <w:szCs w:val="20"/>
        </w:rPr>
        <w:t xml:space="preserve">with </w:t>
      </w:r>
      <w:r w:rsidRPr="00C36480">
        <w:rPr>
          <w:rFonts w:ascii="Arial" w:eastAsia="SimSun" w:hAnsi="Arial" w:cs="Arial"/>
          <w:sz w:val="20"/>
          <w:szCs w:val="20"/>
          <w:lang w:eastAsia="zh-CN"/>
        </w:rPr>
        <w:t>“increasing UE power high limit” feature</w:t>
      </w:r>
    </w:p>
    <w:p w14:paraId="499CB091" w14:textId="2DB2B3A8" w:rsidR="00C36480" w:rsidRPr="00C36480" w:rsidRDefault="00C36480" w:rsidP="00C36480">
      <w:pPr>
        <w:numPr>
          <w:ilvl w:val="2"/>
          <w:numId w:val="32"/>
        </w:numPr>
        <w:overflowPunct w:val="0"/>
        <w:autoSpaceDE w:val="0"/>
        <w:autoSpaceDN w:val="0"/>
        <w:adjustRightInd w:val="0"/>
        <w:spacing w:after="180"/>
        <w:ind w:left="1008" w:hanging="288"/>
        <w:textAlignment w:val="baseline"/>
        <w:rPr>
          <w:rFonts w:ascii="Arial" w:hAnsi="Arial" w:cs="Arial"/>
          <w:sz w:val="20"/>
          <w:szCs w:val="20"/>
        </w:rPr>
      </w:pPr>
      <w:r w:rsidRPr="00C36480">
        <w:rPr>
          <w:rFonts w:ascii="Arial" w:hAnsi="Arial" w:cs="Arial"/>
          <w:sz w:val="20"/>
          <w:szCs w:val="20"/>
        </w:rPr>
        <w:t>PC3 TDD 1Tx + PC1.5 TDD 2Tx (example band combination: CA_n41</w:t>
      </w:r>
      <w:r w:rsidR="00816333">
        <w:rPr>
          <w:rFonts w:ascii="Arial" w:hAnsi="Arial" w:cs="Arial"/>
          <w:sz w:val="20"/>
          <w:szCs w:val="20"/>
        </w:rPr>
        <w:t>A</w:t>
      </w:r>
      <w:r w:rsidRPr="00C36480">
        <w:rPr>
          <w:rFonts w:ascii="Arial" w:hAnsi="Arial" w:cs="Arial"/>
          <w:sz w:val="20"/>
          <w:szCs w:val="20"/>
        </w:rPr>
        <w:t>-n77</w:t>
      </w:r>
      <w:r w:rsidR="00816333">
        <w:rPr>
          <w:rFonts w:ascii="Arial" w:hAnsi="Arial" w:cs="Arial"/>
          <w:sz w:val="20"/>
          <w:szCs w:val="20"/>
        </w:rPr>
        <w:t>A</w:t>
      </w:r>
      <w:r w:rsidRPr="00C36480">
        <w:rPr>
          <w:rFonts w:ascii="Arial" w:hAnsi="Arial" w:cs="Arial"/>
          <w:sz w:val="20"/>
          <w:szCs w:val="20"/>
        </w:rPr>
        <w:t>)</w:t>
      </w:r>
    </w:p>
    <w:p w14:paraId="1B2E8185" w14:textId="401C68F1" w:rsidR="00C36480" w:rsidRPr="00C36480" w:rsidRDefault="00C36480" w:rsidP="00C36480">
      <w:pPr>
        <w:numPr>
          <w:ilvl w:val="2"/>
          <w:numId w:val="32"/>
        </w:numPr>
        <w:overflowPunct w:val="0"/>
        <w:autoSpaceDE w:val="0"/>
        <w:autoSpaceDN w:val="0"/>
        <w:adjustRightInd w:val="0"/>
        <w:spacing w:after="180"/>
        <w:ind w:left="1008" w:hanging="288"/>
        <w:textAlignment w:val="baseline"/>
        <w:rPr>
          <w:rFonts w:ascii="Arial" w:hAnsi="Arial" w:cs="Arial"/>
          <w:sz w:val="20"/>
          <w:szCs w:val="20"/>
        </w:rPr>
      </w:pPr>
      <w:r w:rsidRPr="00C36480">
        <w:rPr>
          <w:rFonts w:ascii="Arial" w:hAnsi="Arial" w:cs="Arial"/>
          <w:sz w:val="20"/>
          <w:szCs w:val="20"/>
        </w:rPr>
        <w:t>PC3 FDD 1Tx + PC1.5 TDD 2Tx (example band combination: CA_n3</w:t>
      </w:r>
      <w:r w:rsidR="00816333">
        <w:rPr>
          <w:rFonts w:ascii="Arial" w:hAnsi="Arial" w:cs="Arial"/>
          <w:sz w:val="20"/>
          <w:szCs w:val="20"/>
        </w:rPr>
        <w:t>A</w:t>
      </w:r>
      <w:r w:rsidRPr="00C36480">
        <w:rPr>
          <w:rFonts w:ascii="Arial" w:hAnsi="Arial" w:cs="Arial"/>
          <w:sz w:val="20"/>
          <w:szCs w:val="20"/>
        </w:rPr>
        <w:t>-n</w:t>
      </w:r>
      <w:r w:rsidR="00816333">
        <w:rPr>
          <w:rFonts w:ascii="Arial" w:hAnsi="Arial" w:cs="Arial"/>
          <w:sz w:val="20"/>
          <w:szCs w:val="20"/>
        </w:rPr>
        <w:t>78A, CA_n</w:t>
      </w:r>
      <w:r w:rsidR="00782AD9">
        <w:rPr>
          <w:rFonts w:ascii="Arial" w:hAnsi="Arial" w:cs="Arial"/>
          <w:sz w:val="20"/>
          <w:szCs w:val="20"/>
        </w:rPr>
        <w:t>41</w:t>
      </w:r>
      <w:r w:rsidR="00816333">
        <w:rPr>
          <w:rFonts w:ascii="Arial" w:hAnsi="Arial" w:cs="Arial"/>
          <w:sz w:val="20"/>
          <w:szCs w:val="20"/>
        </w:rPr>
        <w:t>A-n</w:t>
      </w:r>
      <w:r w:rsidR="00782AD9">
        <w:rPr>
          <w:rFonts w:ascii="Arial" w:hAnsi="Arial" w:cs="Arial"/>
          <w:sz w:val="20"/>
          <w:szCs w:val="20"/>
        </w:rPr>
        <w:t>7</w:t>
      </w:r>
      <w:r w:rsidR="00816333">
        <w:rPr>
          <w:rFonts w:ascii="Arial" w:hAnsi="Arial" w:cs="Arial"/>
          <w:sz w:val="20"/>
          <w:szCs w:val="20"/>
        </w:rPr>
        <w:t>1A</w:t>
      </w:r>
      <w:r w:rsidRPr="00C36480">
        <w:rPr>
          <w:rFonts w:ascii="Arial" w:hAnsi="Arial" w:cs="Arial"/>
          <w:sz w:val="20"/>
          <w:szCs w:val="20"/>
        </w:rPr>
        <w:t>)</w:t>
      </w:r>
    </w:p>
    <w:p w14:paraId="622B92CC" w14:textId="64CB258B" w:rsidR="00C36480" w:rsidRPr="00C36480" w:rsidRDefault="00C36480" w:rsidP="00C36480">
      <w:pPr>
        <w:numPr>
          <w:ilvl w:val="2"/>
          <w:numId w:val="32"/>
        </w:numPr>
        <w:overflowPunct w:val="0"/>
        <w:autoSpaceDE w:val="0"/>
        <w:autoSpaceDN w:val="0"/>
        <w:adjustRightInd w:val="0"/>
        <w:spacing w:after="180"/>
        <w:ind w:left="1008" w:hanging="288"/>
        <w:textAlignment w:val="baseline"/>
        <w:rPr>
          <w:rFonts w:ascii="Arial" w:hAnsi="Arial" w:cs="Arial"/>
          <w:sz w:val="20"/>
          <w:szCs w:val="20"/>
        </w:rPr>
      </w:pPr>
      <w:r w:rsidRPr="00C36480">
        <w:rPr>
          <w:rFonts w:ascii="Arial" w:hAnsi="Arial" w:cs="Arial"/>
          <w:sz w:val="20"/>
          <w:szCs w:val="20"/>
        </w:rPr>
        <w:t>PC2 TDD 1Tx + PC1.5 TDD 2Tx (example band combination: CA_n41</w:t>
      </w:r>
      <w:r w:rsidR="00816333">
        <w:rPr>
          <w:rFonts w:ascii="Arial" w:hAnsi="Arial" w:cs="Arial"/>
          <w:sz w:val="20"/>
          <w:szCs w:val="20"/>
        </w:rPr>
        <w:t>A</w:t>
      </w:r>
      <w:r w:rsidRPr="00C36480">
        <w:rPr>
          <w:rFonts w:ascii="Arial" w:hAnsi="Arial" w:cs="Arial"/>
          <w:sz w:val="20"/>
          <w:szCs w:val="20"/>
        </w:rPr>
        <w:t>-n77</w:t>
      </w:r>
      <w:r w:rsidR="00816333">
        <w:rPr>
          <w:rFonts w:ascii="Arial" w:hAnsi="Arial" w:cs="Arial"/>
          <w:sz w:val="20"/>
          <w:szCs w:val="20"/>
        </w:rPr>
        <w:t>A</w:t>
      </w:r>
      <w:r w:rsidRPr="00C36480">
        <w:rPr>
          <w:rFonts w:ascii="Arial" w:hAnsi="Arial" w:cs="Arial"/>
          <w:sz w:val="20"/>
          <w:szCs w:val="20"/>
        </w:rPr>
        <w:t>)</w:t>
      </w:r>
    </w:p>
    <w:p w14:paraId="435CD99E" w14:textId="77777777" w:rsidR="00C36480" w:rsidRPr="00C36480" w:rsidRDefault="00C36480" w:rsidP="00C36480">
      <w:pPr>
        <w:numPr>
          <w:ilvl w:val="1"/>
          <w:numId w:val="28"/>
        </w:numPr>
        <w:overflowPunct w:val="0"/>
        <w:autoSpaceDE w:val="0"/>
        <w:autoSpaceDN w:val="0"/>
        <w:adjustRightInd w:val="0"/>
        <w:spacing w:after="180"/>
        <w:ind w:left="706" w:hanging="288"/>
        <w:jc w:val="both"/>
        <w:textAlignment w:val="baseline"/>
        <w:rPr>
          <w:rFonts w:ascii="Arial" w:hAnsi="Arial" w:cs="Arial"/>
          <w:sz w:val="20"/>
          <w:szCs w:val="20"/>
        </w:rPr>
      </w:pPr>
      <w:r w:rsidRPr="00C36480">
        <w:rPr>
          <w:rFonts w:ascii="Arial" w:hAnsi="Arial" w:cs="Arial"/>
          <w:bCs/>
          <w:sz w:val="20"/>
          <w:szCs w:val="20"/>
        </w:rPr>
        <w:t>Investigate and specify, if needed, any new general UE RF requirement to support the above configurations.</w:t>
      </w:r>
    </w:p>
    <w:p w14:paraId="650C4896" w14:textId="6206B719" w:rsidR="00FA5E13" w:rsidRPr="00E80AA5" w:rsidRDefault="00C36480" w:rsidP="00C36480">
      <w:pPr>
        <w:numPr>
          <w:ilvl w:val="1"/>
          <w:numId w:val="28"/>
        </w:numPr>
        <w:overflowPunct w:val="0"/>
        <w:autoSpaceDE w:val="0"/>
        <w:autoSpaceDN w:val="0"/>
        <w:adjustRightInd w:val="0"/>
        <w:spacing w:after="180"/>
        <w:ind w:left="706" w:hanging="288"/>
        <w:jc w:val="both"/>
        <w:textAlignment w:val="baseline"/>
      </w:pPr>
      <w:r w:rsidRPr="00C36480">
        <w:rPr>
          <w:rFonts w:ascii="Arial" w:hAnsi="Arial" w:cs="Arial"/>
          <w:sz w:val="20"/>
          <w:szCs w:val="20"/>
        </w:rPr>
        <w:t xml:space="preserve">Specify, if needed, </w:t>
      </w:r>
      <w:r w:rsidRPr="00C36480">
        <w:rPr>
          <w:rFonts w:ascii="Arial" w:hAnsi="Arial" w:cs="Arial"/>
          <w:bCs/>
          <w:sz w:val="20"/>
          <w:szCs w:val="20"/>
        </w:rPr>
        <w:t>any band combination specific UE RF requirement to support the above example band combinations.</w:t>
      </w:r>
    </w:p>
    <w:p w14:paraId="36AB1F76" w14:textId="0A8CA9ED" w:rsidR="00E80AA5" w:rsidRDefault="00E80AA5" w:rsidP="00E80AA5">
      <w:pPr>
        <w:overflowPunct w:val="0"/>
        <w:autoSpaceDE w:val="0"/>
        <w:autoSpaceDN w:val="0"/>
        <w:adjustRightInd w:val="0"/>
        <w:jc w:val="both"/>
        <w:textAlignment w:val="baseline"/>
        <w:rPr>
          <w:rFonts w:ascii="Arial" w:hAnsi="Arial" w:cs="Arial"/>
          <w:bCs/>
          <w:sz w:val="20"/>
          <w:szCs w:val="20"/>
        </w:rPr>
      </w:pPr>
    </w:p>
    <w:p w14:paraId="49C4DF15" w14:textId="77777777" w:rsidR="00EA73AA" w:rsidRDefault="00E80AA5" w:rsidP="00EA73AA">
      <w:pPr>
        <w:overflowPunct w:val="0"/>
        <w:autoSpaceDE w:val="0"/>
        <w:autoSpaceDN w:val="0"/>
        <w:adjustRightInd w:val="0"/>
        <w:spacing w:after="120"/>
        <w:jc w:val="both"/>
        <w:textAlignment w:val="baseline"/>
        <w:rPr>
          <w:rFonts w:ascii="Arial" w:hAnsi="Arial" w:cs="Arial"/>
          <w:bCs/>
          <w:i/>
          <w:iCs/>
          <w:sz w:val="20"/>
          <w:szCs w:val="20"/>
        </w:rPr>
      </w:pPr>
      <w:r w:rsidRPr="00E80AA5">
        <w:rPr>
          <w:rFonts w:ascii="Arial" w:hAnsi="Arial" w:cs="Arial"/>
          <w:b/>
          <w:i/>
          <w:iCs/>
          <w:sz w:val="20"/>
          <w:szCs w:val="20"/>
        </w:rPr>
        <w:t>Proposal</w:t>
      </w:r>
      <w:r w:rsidRPr="00E80AA5">
        <w:rPr>
          <w:rFonts w:ascii="Arial" w:hAnsi="Arial" w:cs="Arial"/>
          <w:bCs/>
          <w:i/>
          <w:iCs/>
          <w:sz w:val="20"/>
          <w:szCs w:val="20"/>
        </w:rPr>
        <w:t xml:space="preserve">: RAN to approve a new WID on HPUE with simultaneous 2Tx and 3Tx </w:t>
      </w:r>
      <w:r>
        <w:rPr>
          <w:rFonts w:ascii="Arial" w:hAnsi="Arial" w:cs="Arial"/>
          <w:bCs/>
          <w:i/>
          <w:iCs/>
          <w:sz w:val="20"/>
          <w:szCs w:val="20"/>
        </w:rPr>
        <w:t>comprising</w:t>
      </w:r>
      <w:r w:rsidRPr="00E80AA5">
        <w:rPr>
          <w:rFonts w:ascii="Arial" w:hAnsi="Arial" w:cs="Arial"/>
          <w:bCs/>
          <w:i/>
          <w:iCs/>
          <w:sz w:val="20"/>
          <w:szCs w:val="20"/>
        </w:rPr>
        <w:t xml:space="preserve"> the above proposed objectives.</w:t>
      </w:r>
    </w:p>
    <w:p w14:paraId="0D91A897" w14:textId="28D9E221" w:rsidR="00EA73AA" w:rsidRDefault="00E80AA5" w:rsidP="00EA73AA">
      <w:pPr>
        <w:overflowPunct w:val="0"/>
        <w:autoSpaceDE w:val="0"/>
        <w:autoSpaceDN w:val="0"/>
        <w:adjustRightInd w:val="0"/>
        <w:jc w:val="both"/>
        <w:textAlignment w:val="baseline"/>
        <w:rPr>
          <w:rFonts w:ascii="Arial" w:hAnsi="Arial" w:cs="Arial"/>
          <w:bCs/>
          <w:i/>
          <w:iCs/>
          <w:sz w:val="20"/>
          <w:szCs w:val="20"/>
        </w:rPr>
      </w:pPr>
      <w:r w:rsidRPr="00E80AA5">
        <w:rPr>
          <w:rFonts w:ascii="Arial" w:hAnsi="Arial" w:cs="Arial"/>
          <w:bCs/>
          <w:i/>
          <w:iCs/>
          <w:sz w:val="20"/>
          <w:szCs w:val="20"/>
        </w:rPr>
        <w:t xml:space="preserve">  </w:t>
      </w:r>
    </w:p>
    <w:p w14:paraId="56E1595B" w14:textId="53C56308" w:rsidR="00EA73AA" w:rsidRDefault="00EA73AA" w:rsidP="00EA73AA">
      <w:pPr>
        <w:pStyle w:val="Heading1"/>
      </w:pPr>
      <w:r>
        <w:t>4</w:t>
      </w:r>
      <w:r>
        <w:tab/>
        <w:t>Conclusion</w:t>
      </w:r>
    </w:p>
    <w:p w14:paraId="0655AEDA" w14:textId="77777777" w:rsidR="00EA73AA" w:rsidRDefault="00EA73AA" w:rsidP="00EA73AA">
      <w:pPr>
        <w:overflowPunct w:val="0"/>
        <w:autoSpaceDE w:val="0"/>
        <w:autoSpaceDN w:val="0"/>
        <w:adjustRightInd w:val="0"/>
        <w:jc w:val="both"/>
        <w:textAlignment w:val="baseline"/>
        <w:rPr>
          <w:rFonts w:ascii="Arial" w:hAnsi="Arial" w:cs="Arial"/>
          <w:sz w:val="20"/>
          <w:szCs w:val="20"/>
          <w:lang w:val="en-GB"/>
        </w:rPr>
      </w:pPr>
    </w:p>
    <w:p w14:paraId="133D5B19" w14:textId="77777777" w:rsidR="00EA73AA" w:rsidRDefault="00EA73AA" w:rsidP="00EA73AA">
      <w:pPr>
        <w:overflowPunct w:val="0"/>
        <w:autoSpaceDE w:val="0"/>
        <w:autoSpaceDN w:val="0"/>
        <w:adjustRightInd w:val="0"/>
        <w:spacing w:after="120"/>
        <w:jc w:val="both"/>
        <w:textAlignment w:val="baseline"/>
        <w:rPr>
          <w:rFonts w:ascii="Arial" w:hAnsi="Arial" w:cs="Arial"/>
          <w:sz w:val="20"/>
          <w:szCs w:val="20"/>
        </w:rPr>
      </w:pPr>
      <w:r>
        <w:rPr>
          <w:rFonts w:ascii="Arial" w:hAnsi="Arial" w:cs="Arial"/>
          <w:sz w:val="20"/>
          <w:szCs w:val="20"/>
          <w:lang w:val="en-GB"/>
        </w:rPr>
        <w:t xml:space="preserve">In this contribution, we provide the background and motivation behind a new Rel-18 WID proposal on </w:t>
      </w:r>
      <w:r w:rsidRPr="00EA73AA">
        <w:rPr>
          <w:rFonts w:ascii="Arial" w:hAnsi="Arial" w:cs="Arial"/>
          <w:sz w:val="20"/>
          <w:szCs w:val="20"/>
        </w:rPr>
        <w:t>HPUE with simultaneous 2Tx and 3Tx</w:t>
      </w:r>
      <w:r>
        <w:rPr>
          <w:rFonts w:ascii="Arial" w:hAnsi="Arial" w:cs="Arial"/>
          <w:sz w:val="20"/>
          <w:szCs w:val="20"/>
        </w:rPr>
        <w:t>.</w:t>
      </w:r>
    </w:p>
    <w:p w14:paraId="5AE18706" w14:textId="77777777" w:rsidR="00EA73AA" w:rsidRPr="00EA73AA" w:rsidRDefault="00EA73AA" w:rsidP="00EA73AA">
      <w:pPr>
        <w:jc w:val="both"/>
        <w:rPr>
          <w:rFonts w:ascii="Arial" w:hAnsi="Arial" w:cs="Arial"/>
          <w:sz w:val="20"/>
          <w:szCs w:val="20"/>
        </w:rPr>
      </w:pPr>
    </w:p>
    <w:p w14:paraId="2C8D8C5F" w14:textId="10A31176" w:rsidR="00EA73AA" w:rsidRPr="009034DD" w:rsidRDefault="00EA73AA" w:rsidP="00EA73AA">
      <w:pPr>
        <w:spacing w:after="120"/>
        <w:jc w:val="both"/>
        <w:rPr>
          <w:rFonts w:ascii="Arial" w:hAnsi="Arial" w:cs="Arial"/>
          <w:i/>
          <w:iCs/>
          <w:sz w:val="20"/>
          <w:szCs w:val="20"/>
          <w:lang w:val="en-GB"/>
        </w:rPr>
      </w:pPr>
      <w:r w:rsidRPr="009034DD">
        <w:rPr>
          <w:rFonts w:ascii="Arial" w:hAnsi="Arial" w:cs="Arial"/>
          <w:b/>
          <w:bCs/>
          <w:i/>
          <w:iCs/>
          <w:sz w:val="20"/>
          <w:szCs w:val="20"/>
        </w:rPr>
        <w:t>Observation 1</w:t>
      </w:r>
      <w:r w:rsidRPr="009034DD">
        <w:rPr>
          <w:rFonts w:ascii="Arial" w:hAnsi="Arial" w:cs="Arial"/>
          <w:i/>
          <w:iCs/>
          <w:sz w:val="20"/>
          <w:szCs w:val="20"/>
        </w:rPr>
        <w:t xml:space="preserve">: </w:t>
      </w:r>
      <w:r w:rsidRPr="009034DD">
        <w:rPr>
          <w:rFonts w:ascii="Arial" w:hAnsi="Arial" w:cs="Arial"/>
          <w:i/>
          <w:iCs/>
          <w:sz w:val="20"/>
          <w:szCs w:val="20"/>
          <w:lang w:val="en-GB"/>
        </w:rPr>
        <w:t>Many existing UEs are already hardware capable of supporting PC2+PC2 in TDD+TDD band combinations.</w:t>
      </w:r>
    </w:p>
    <w:p w14:paraId="4D4EF679" w14:textId="77777777" w:rsidR="00EA73AA" w:rsidRDefault="00EA73AA" w:rsidP="00EA73AA">
      <w:pPr>
        <w:jc w:val="both"/>
        <w:rPr>
          <w:rFonts w:ascii="Arial" w:hAnsi="Arial" w:cs="Arial"/>
          <w:sz w:val="20"/>
          <w:szCs w:val="20"/>
          <w:lang w:val="en-GB"/>
        </w:rPr>
      </w:pPr>
    </w:p>
    <w:p w14:paraId="1AD6EEB8" w14:textId="1AF92E89" w:rsidR="00EA73AA" w:rsidRPr="00EA73AA" w:rsidRDefault="00EA73AA" w:rsidP="00EA73AA">
      <w:pPr>
        <w:spacing w:after="120"/>
        <w:jc w:val="both"/>
        <w:rPr>
          <w:rFonts w:ascii="Arial" w:hAnsi="Arial" w:cs="Arial"/>
          <w:i/>
          <w:iCs/>
          <w:sz w:val="20"/>
          <w:szCs w:val="20"/>
          <w:lang w:val="en-GB"/>
        </w:rPr>
      </w:pPr>
      <w:r w:rsidRPr="009034DD">
        <w:rPr>
          <w:rFonts w:ascii="Arial" w:hAnsi="Arial" w:cs="Arial"/>
          <w:b/>
          <w:bCs/>
          <w:i/>
          <w:iCs/>
          <w:sz w:val="20"/>
          <w:szCs w:val="20"/>
        </w:rPr>
        <w:t>Observation 2</w:t>
      </w:r>
      <w:r w:rsidRPr="009034DD">
        <w:rPr>
          <w:rFonts w:ascii="Arial" w:hAnsi="Arial" w:cs="Arial"/>
          <w:i/>
          <w:iCs/>
          <w:sz w:val="20"/>
          <w:szCs w:val="20"/>
        </w:rPr>
        <w:t xml:space="preserve">: </w:t>
      </w:r>
      <w:r>
        <w:rPr>
          <w:rFonts w:ascii="Arial" w:hAnsi="Arial" w:cs="Arial"/>
          <w:i/>
          <w:iCs/>
          <w:sz w:val="20"/>
          <w:szCs w:val="20"/>
          <w:lang w:val="en-GB"/>
        </w:rPr>
        <w:t>M</w:t>
      </w:r>
      <w:r w:rsidRPr="009034DD">
        <w:rPr>
          <w:rFonts w:ascii="Arial" w:hAnsi="Arial" w:cs="Arial"/>
          <w:i/>
          <w:iCs/>
          <w:sz w:val="20"/>
          <w:szCs w:val="20"/>
          <w:lang w:val="en-GB"/>
        </w:rPr>
        <w:t>any existing UEs are already hardware capable of supporting inter-band combinations with simultaneous 1Tx transmission in one band (TDD or FDD) and 2Tx transmission in the other band (TDD) for UL MIMO or Tx diversity.</w:t>
      </w:r>
    </w:p>
    <w:p w14:paraId="5E0F7254" w14:textId="77777777" w:rsidR="00EA73AA" w:rsidRPr="00EA73AA" w:rsidRDefault="00EA73AA" w:rsidP="00EA73AA">
      <w:pPr>
        <w:overflowPunct w:val="0"/>
        <w:autoSpaceDE w:val="0"/>
        <w:autoSpaceDN w:val="0"/>
        <w:adjustRightInd w:val="0"/>
        <w:jc w:val="both"/>
        <w:textAlignment w:val="baseline"/>
        <w:rPr>
          <w:rFonts w:ascii="Arial" w:hAnsi="Arial" w:cs="Arial"/>
          <w:sz w:val="20"/>
          <w:szCs w:val="20"/>
          <w:lang w:val="en-GB"/>
        </w:rPr>
      </w:pPr>
    </w:p>
    <w:p w14:paraId="56010EC0" w14:textId="77777777" w:rsidR="00EA73AA" w:rsidRDefault="00EA73AA" w:rsidP="00E80AA5">
      <w:pPr>
        <w:overflowPunct w:val="0"/>
        <w:autoSpaceDE w:val="0"/>
        <w:autoSpaceDN w:val="0"/>
        <w:adjustRightInd w:val="0"/>
        <w:spacing w:after="180"/>
        <w:jc w:val="both"/>
        <w:textAlignment w:val="baseline"/>
        <w:rPr>
          <w:rFonts w:ascii="Arial" w:hAnsi="Arial" w:cs="Arial"/>
          <w:i/>
          <w:iCs/>
          <w:sz w:val="20"/>
          <w:szCs w:val="20"/>
          <w:lang w:val="en-GB"/>
        </w:rPr>
      </w:pPr>
      <w:r w:rsidRPr="009034DD">
        <w:rPr>
          <w:rFonts w:ascii="Arial" w:hAnsi="Arial" w:cs="Arial"/>
          <w:b/>
          <w:bCs/>
          <w:i/>
          <w:iCs/>
          <w:sz w:val="20"/>
          <w:szCs w:val="20"/>
        </w:rPr>
        <w:t xml:space="preserve">Observation </w:t>
      </w:r>
      <w:r>
        <w:rPr>
          <w:rFonts w:ascii="Arial" w:hAnsi="Arial" w:cs="Arial"/>
          <w:b/>
          <w:bCs/>
          <w:i/>
          <w:iCs/>
          <w:sz w:val="20"/>
          <w:szCs w:val="20"/>
        </w:rPr>
        <w:t>3</w:t>
      </w:r>
      <w:r w:rsidRPr="009034DD">
        <w:rPr>
          <w:rFonts w:ascii="Arial" w:hAnsi="Arial" w:cs="Arial"/>
          <w:i/>
          <w:iCs/>
          <w:sz w:val="20"/>
          <w:szCs w:val="20"/>
        </w:rPr>
        <w:t xml:space="preserve">: </w:t>
      </w:r>
      <w:r>
        <w:rPr>
          <w:rFonts w:ascii="Arial" w:hAnsi="Arial" w:cs="Arial"/>
          <w:i/>
          <w:iCs/>
          <w:sz w:val="20"/>
          <w:szCs w:val="20"/>
          <w:lang w:val="en-GB"/>
        </w:rPr>
        <w:t>F</w:t>
      </w:r>
      <w:r w:rsidRPr="009034DD">
        <w:rPr>
          <w:rFonts w:ascii="Arial" w:hAnsi="Arial" w:cs="Arial"/>
          <w:i/>
          <w:iCs/>
          <w:sz w:val="20"/>
          <w:szCs w:val="20"/>
          <w:lang w:val="en-GB"/>
        </w:rPr>
        <w:t>or TDD+TDD combination under simultaneous 2Tx operation, there would not be DL reception in both bands, therefore the 2UL IMD issue does not need to be considered.</w:t>
      </w:r>
    </w:p>
    <w:p w14:paraId="0929F711" w14:textId="77777777" w:rsidR="00EA73AA" w:rsidRPr="00EA73AA" w:rsidRDefault="00EA73AA" w:rsidP="00EA73AA">
      <w:pPr>
        <w:jc w:val="both"/>
        <w:rPr>
          <w:rFonts w:ascii="Arial" w:hAnsi="Arial" w:cs="Arial"/>
          <w:sz w:val="20"/>
          <w:szCs w:val="20"/>
        </w:rPr>
      </w:pPr>
    </w:p>
    <w:p w14:paraId="35E8F8F1" w14:textId="00CE65F4" w:rsidR="00EA73AA" w:rsidRDefault="00EA73AA" w:rsidP="00EA73AA">
      <w:pPr>
        <w:spacing w:after="120"/>
        <w:jc w:val="both"/>
        <w:rPr>
          <w:rFonts w:ascii="Arial" w:hAnsi="Arial" w:cs="Arial"/>
          <w:i/>
          <w:iCs/>
          <w:sz w:val="20"/>
          <w:szCs w:val="20"/>
          <w:lang w:val="en-GB"/>
        </w:rPr>
      </w:pPr>
      <w:r w:rsidRPr="009034DD">
        <w:rPr>
          <w:rFonts w:ascii="Arial" w:hAnsi="Arial" w:cs="Arial"/>
          <w:b/>
          <w:bCs/>
          <w:i/>
          <w:iCs/>
          <w:sz w:val="20"/>
          <w:szCs w:val="20"/>
        </w:rPr>
        <w:t xml:space="preserve">Observation </w:t>
      </w:r>
      <w:r>
        <w:rPr>
          <w:rFonts w:ascii="Arial" w:hAnsi="Arial" w:cs="Arial"/>
          <w:b/>
          <w:bCs/>
          <w:i/>
          <w:iCs/>
          <w:sz w:val="20"/>
          <w:szCs w:val="20"/>
        </w:rPr>
        <w:t>4</w:t>
      </w:r>
      <w:r w:rsidRPr="009034DD">
        <w:rPr>
          <w:rFonts w:ascii="Arial" w:hAnsi="Arial" w:cs="Arial"/>
          <w:i/>
          <w:iCs/>
          <w:sz w:val="20"/>
          <w:szCs w:val="20"/>
        </w:rPr>
        <w:t xml:space="preserve">: </w:t>
      </w:r>
      <w:r>
        <w:rPr>
          <w:rFonts w:ascii="Arial" w:hAnsi="Arial" w:cs="Arial"/>
          <w:i/>
          <w:iCs/>
          <w:sz w:val="20"/>
          <w:szCs w:val="20"/>
          <w:lang w:val="en-GB"/>
        </w:rPr>
        <w:t>F</w:t>
      </w:r>
      <w:r w:rsidRPr="009034DD">
        <w:rPr>
          <w:rFonts w:ascii="Arial" w:hAnsi="Arial" w:cs="Arial"/>
          <w:i/>
          <w:iCs/>
          <w:sz w:val="20"/>
          <w:szCs w:val="20"/>
          <w:lang w:val="en-GB"/>
        </w:rPr>
        <w:t>or inter-band UL combinations, the Tx requirements are basically per-band based, and the RF characteristic for UL MIMO or Tx diversity with 1CC is virtually no different from 1Tx.</w:t>
      </w:r>
      <w:r>
        <w:rPr>
          <w:rFonts w:ascii="Arial" w:hAnsi="Arial" w:cs="Arial"/>
          <w:i/>
          <w:iCs/>
          <w:sz w:val="20"/>
          <w:szCs w:val="20"/>
          <w:lang w:val="en-GB"/>
        </w:rPr>
        <w:t xml:space="preserve"> Therefore, </w:t>
      </w:r>
      <w:r w:rsidRPr="009034DD">
        <w:rPr>
          <w:rFonts w:ascii="Arial" w:hAnsi="Arial" w:cs="Arial"/>
          <w:i/>
          <w:iCs/>
          <w:sz w:val="20"/>
          <w:szCs w:val="20"/>
          <w:lang w:val="en-GB"/>
        </w:rPr>
        <w:t xml:space="preserve">no new Tx requirement is expected for </w:t>
      </w:r>
      <w:r>
        <w:rPr>
          <w:rFonts w:ascii="Arial" w:hAnsi="Arial" w:cs="Arial"/>
          <w:i/>
          <w:iCs/>
          <w:sz w:val="20"/>
          <w:szCs w:val="20"/>
          <w:lang w:val="en-GB"/>
        </w:rPr>
        <w:t>the intended 3Tx</w:t>
      </w:r>
      <w:r w:rsidRPr="009034DD">
        <w:rPr>
          <w:rFonts w:ascii="Arial" w:hAnsi="Arial" w:cs="Arial"/>
          <w:i/>
          <w:iCs/>
          <w:sz w:val="20"/>
          <w:szCs w:val="20"/>
          <w:lang w:val="en-GB"/>
        </w:rPr>
        <w:t xml:space="preserve"> UL configurations</w:t>
      </w:r>
      <w:r>
        <w:rPr>
          <w:rFonts w:ascii="Arial" w:hAnsi="Arial" w:cs="Arial"/>
          <w:i/>
          <w:iCs/>
          <w:sz w:val="20"/>
          <w:szCs w:val="20"/>
          <w:lang w:val="en-GB"/>
        </w:rPr>
        <w:t>.</w:t>
      </w:r>
    </w:p>
    <w:p w14:paraId="45A2FE62" w14:textId="77777777" w:rsidR="00EA73AA" w:rsidRPr="00EA73AA" w:rsidRDefault="00EA73AA" w:rsidP="00EA73AA">
      <w:pPr>
        <w:jc w:val="both"/>
        <w:rPr>
          <w:rFonts w:ascii="Arial" w:hAnsi="Arial" w:cs="Arial"/>
          <w:sz w:val="20"/>
          <w:szCs w:val="20"/>
          <w:lang w:val="en-GB"/>
        </w:rPr>
      </w:pPr>
    </w:p>
    <w:p w14:paraId="1905BE5C" w14:textId="77777777" w:rsidR="00EA73AA" w:rsidRDefault="00EA73AA" w:rsidP="00EA73AA">
      <w:pPr>
        <w:spacing w:after="120"/>
        <w:jc w:val="both"/>
        <w:rPr>
          <w:rFonts w:ascii="Arial" w:hAnsi="Arial" w:cs="Arial"/>
          <w:sz w:val="20"/>
          <w:szCs w:val="20"/>
          <w:lang w:val="en-GB"/>
        </w:rPr>
      </w:pPr>
      <w:r w:rsidRPr="009034DD">
        <w:rPr>
          <w:rFonts w:ascii="Arial" w:hAnsi="Arial" w:cs="Arial"/>
          <w:b/>
          <w:bCs/>
          <w:i/>
          <w:iCs/>
          <w:sz w:val="20"/>
          <w:szCs w:val="20"/>
        </w:rPr>
        <w:t xml:space="preserve">Observation </w:t>
      </w:r>
      <w:r>
        <w:rPr>
          <w:rFonts w:ascii="Arial" w:hAnsi="Arial" w:cs="Arial"/>
          <w:b/>
          <w:bCs/>
          <w:i/>
          <w:iCs/>
          <w:sz w:val="20"/>
          <w:szCs w:val="20"/>
        </w:rPr>
        <w:t>5</w:t>
      </w:r>
      <w:r w:rsidRPr="009034DD">
        <w:rPr>
          <w:rFonts w:ascii="Arial" w:hAnsi="Arial" w:cs="Arial"/>
          <w:i/>
          <w:iCs/>
          <w:sz w:val="20"/>
          <w:szCs w:val="20"/>
        </w:rPr>
        <w:t xml:space="preserve">: </w:t>
      </w:r>
      <w:r w:rsidRPr="009034DD">
        <w:rPr>
          <w:rFonts w:ascii="Arial" w:hAnsi="Arial" w:cs="Arial"/>
          <w:i/>
          <w:iCs/>
          <w:sz w:val="20"/>
          <w:szCs w:val="20"/>
          <w:lang w:val="en-GB"/>
        </w:rPr>
        <w:t xml:space="preserve">On the Rx requirements side, for PC2 and </w:t>
      </w:r>
      <w:r w:rsidRPr="009034DD">
        <w:rPr>
          <w:rFonts w:ascii="Arial" w:hAnsi="Arial" w:cs="Arial"/>
          <w:i/>
          <w:iCs/>
          <w:sz w:val="20"/>
          <w:szCs w:val="20"/>
        </w:rPr>
        <w:t xml:space="preserve">PC2 with </w:t>
      </w:r>
      <w:r w:rsidRPr="009034DD">
        <w:rPr>
          <w:rFonts w:ascii="Arial" w:hAnsi="Arial" w:cs="Arial"/>
          <w:i/>
          <w:iCs/>
          <w:sz w:val="20"/>
          <w:szCs w:val="20"/>
          <w:lang w:val="en-GB"/>
        </w:rPr>
        <w:t xml:space="preserve">“increasing UE power high limit”, there would be no difference from </w:t>
      </w:r>
      <w:r>
        <w:rPr>
          <w:rFonts w:ascii="Arial" w:hAnsi="Arial" w:cs="Arial"/>
          <w:i/>
          <w:iCs/>
          <w:sz w:val="20"/>
          <w:szCs w:val="20"/>
          <w:lang w:val="en-GB"/>
        </w:rPr>
        <w:t xml:space="preserve">the </w:t>
      </w:r>
      <w:r w:rsidRPr="009034DD">
        <w:rPr>
          <w:rFonts w:ascii="Arial" w:hAnsi="Arial" w:cs="Arial"/>
          <w:i/>
          <w:iCs/>
          <w:sz w:val="20"/>
          <w:szCs w:val="20"/>
          <w:lang w:val="en-GB"/>
        </w:rPr>
        <w:t>existing inter-band UL combinations with 2Tx</w:t>
      </w:r>
      <w:r>
        <w:rPr>
          <w:rFonts w:ascii="Arial" w:hAnsi="Arial" w:cs="Arial"/>
          <w:i/>
          <w:iCs/>
          <w:sz w:val="20"/>
          <w:szCs w:val="20"/>
          <w:lang w:val="en-GB"/>
        </w:rPr>
        <w:t>.</w:t>
      </w:r>
    </w:p>
    <w:p w14:paraId="0C649136" w14:textId="77777777" w:rsidR="00EA73AA" w:rsidRDefault="00EA73AA" w:rsidP="00EA73AA">
      <w:pPr>
        <w:jc w:val="both"/>
        <w:rPr>
          <w:rFonts w:ascii="Arial" w:hAnsi="Arial" w:cs="Arial"/>
          <w:sz w:val="20"/>
          <w:szCs w:val="20"/>
          <w:lang w:val="en-GB"/>
        </w:rPr>
      </w:pPr>
    </w:p>
    <w:p w14:paraId="09238A87" w14:textId="77777777" w:rsidR="00EA73AA" w:rsidRDefault="00EA73AA" w:rsidP="00EA73AA">
      <w:pPr>
        <w:spacing w:after="120"/>
        <w:jc w:val="both"/>
        <w:rPr>
          <w:rFonts w:ascii="Arial" w:hAnsi="Arial" w:cs="Arial"/>
          <w:i/>
          <w:iCs/>
          <w:sz w:val="20"/>
          <w:szCs w:val="20"/>
          <w:lang w:val="en-GB"/>
        </w:rPr>
      </w:pPr>
      <w:r w:rsidRPr="009034DD">
        <w:rPr>
          <w:rFonts w:ascii="Arial" w:hAnsi="Arial" w:cs="Arial"/>
          <w:b/>
          <w:bCs/>
          <w:i/>
          <w:iCs/>
          <w:sz w:val="20"/>
          <w:szCs w:val="20"/>
        </w:rPr>
        <w:t xml:space="preserve">Observation </w:t>
      </w:r>
      <w:r>
        <w:rPr>
          <w:rFonts w:ascii="Arial" w:hAnsi="Arial" w:cs="Arial"/>
          <w:b/>
          <w:bCs/>
          <w:i/>
          <w:iCs/>
          <w:sz w:val="20"/>
          <w:szCs w:val="20"/>
        </w:rPr>
        <w:t>6</w:t>
      </w:r>
      <w:r w:rsidRPr="009034DD">
        <w:rPr>
          <w:rFonts w:ascii="Arial" w:hAnsi="Arial" w:cs="Arial"/>
          <w:i/>
          <w:iCs/>
          <w:sz w:val="20"/>
          <w:szCs w:val="20"/>
        </w:rPr>
        <w:t xml:space="preserve">: </w:t>
      </w:r>
      <w:r w:rsidRPr="00EA73AA">
        <w:rPr>
          <w:rFonts w:ascii="Arial" w:hAnsi="Arial" w:cs="Arial"/>
          <w:i/>
          <w:iCs/>
          <w:sz w:val="20"/>
          <w:szCs w:val="20"/>
          <w:lang w:val="en-GB"/>
        </w:rPr>
        <w:t xml:space="preserve">For PC1.5 and PC1.5 with “increasing UE power high limit”, there would not be any new </w:t>
      </w:r>
      <w:r>
        <w:rPr>
          <w:rFonts w:ascii="Arial" w:hAnsi="Arial" w:cs="Arial"/>
          <w:i/>
          <w:iCs/>
          <w:sz w:val="20"/>
          <w:szCs w:val="20"/>
          <w:lang w:val="en-GB"/>
        </w:rPr>
        <w:t xml:space="preserve">Rx </w:t>
      </w:r>
      <w:r w:rsidRPr="00EA73AA">
        <w:rPr>
          <w:rFonts w:ascii="Arial" w:hAnsi="Arial" w:cs="Arial"/>
          <w:i/>
          <w:iCs/>
          <w:sz w:val="20"/>
          <w:szCs w:val="20"/>
          <w:lang w:val="en-GB"/>
        </w:rPr>
        <w:t>requirement for TDD+TDD combinations</w:t>
      </w:r>
      <w:r>
        <w:rPr>
          <w:rFonts w:ascii="Arial" w:hAnsi="Arial" w:cs="Arial"/>
          <w:i/>
          <w:iCs/>
          <w:sz w:val="20"/>
          <w:szCs w:val="20"/>
          <w:lang w:val="en-GB"/>
        </w:rPr>
        <w:t>.</w:t>
      </w:r>
    </w:p>
    <w:p w14:paraId="33862294" w14:textId="77777777" w:rsidR="00EA73AA" w:rsidRDefault="00EA73AA" w:rsidP="00EA73AA">
      <w:pPr>
        <w:jc w:val="both"/>
        <w:rPr>
          <w:rFonts w:ascii="Arial" w:hAnsi="Arial" w:cs="Arial"/>
          <w:sz w:val="20"/>
          <w:szCs w:val="20"/>
          <w:lang w:val="en-GB"/>
        </w:rPr>
      </w:pPr>
    </w:p>
    <w:p w14:paraId="68EEDD8A" w14:textId="3BE950D2" w:rsidR="00EA73AA" w:rsidRDefault="00EA73AA" w:rsidP="00EA73AA">
      <w:pPr>
        <w:overflowPunct w:val="0"/>
        <w:autoSpaceDE w:val="0"/>
        <w:autoSpaceDN w:val="0"/>
        <w:adjustRightInd w:val="0"/>
        <w:spacing w:after="120"/>
        <w:jc w:val="both"/>
        <w:textAlignment w:val="baseline"/>
        <w:rPr>
          <w:rFonts w:ascii="Arial" w:hAnsi="Arial" w:cs="Arial"/>
          <w:i/>
          <w:iCs/>
          <w:sz w:val="20"/>
          <w:szCs w:val="20"/>
          <w:lang w:val="en-GB"/>
        </w:rPr>
      </w:pPr>
      <w:r w:rsidRPr="009034DD">
        <w:rPr>
          <w:rFonts w:ascii="Arial" w:hAnsi="Arial" w:cs="Arial"/>
          <w:b/>
          <w:bCs/>
          <w:i/>
          <w:iCs/>
          <w:sz w:val="20"/>
          <w:szCs w:val="20"/>
        </w:rPr>
        <w:t xml:space="preserve">Observation </w:t>
      </w:r>
      <w:r>
        <w:rPr>
          <w:rFonts w:ascii="Arial" w:hAnsi="Arial" w:cs="Arial"/>
          <w:b/>
          <w:bCs/>
          <w:i/>
          <w:iCs/>
          <w:sz w:val="20"/>
          <w:szCs w:val="20"/>
        </w:rPr>
        <w:t>7</w:t>
      </w:r>
      <w:r w:rsidRPr="009034DD">
        <w:rPr>
          <w:rFonts w:ascii="Arial" w:hAnsi="Arial" w:cs="Arial"/>
          <w:i/>
          <w:iCs/>
          <w:sz w:val="20"/>
          <w:szCs w:val="20"/>
        </w:rPr>
        <w:t xml:space="preserve">: </w:t>
      </w:r>
      <w:r>
        <w:rPr>
          <w:rFonts w:ascii="Arial" w:hAnsi="Arial" w:cs="Arial"/>
          <w:i/>
          <w:iCs/>
          <w:sz w:val="20"/>
          <w:szCs w:val="20"/>
          <w:lang w:val="en-GB"/>
        </w:rPr>
        <w:t>T</w:t>
      </w:r>
      <w:r w:rsidRPr="00EA73AA">
        <w:rPr>
          <w:rFonts w:ascii="Arial" w:hAnsi="Arial" w:cs="Arial"/>
          <w:i/>
          <w:iCs/>
          <w:sz w:val="20"/>
          <w:szCs w:val="20"/>
          <w:lang w:val="en-GB"/>
        </w:rPr>
        <w:t xml:space="preserve">he only potential new </w:t>
      </w:r>
      <w:r>
        <w:rPr>
          <w:rFonts w:ascii="Arial" w:hAnsi="Arial" w:cs="Arial"/>
          <w:i/>
          <w:iCs/>
          <w:sz w:val="20"/>
          <w:szCs w:val="20"/>
          <w:lang w:val="en-GB"/>
        </w:rPr>
        <w:t xml:space="preserve">Rx </w:t>
      </w:r>
      <w:r w:rsidRPr="00EA73AA">
        <w:rPr>
          <w:rFonts w:ascii="Arial" w:hAnsi="Arial" w:cs="Arial"/>
          <w:i/>
          <w:iCs/>
          <w:sz w:val="20"/>
          <w:szCs w:val="20"/>
          <w:lang w:val="en-GB"/>
        </w:rPr>
        <w:t>requirements to be developed are for PC1.5 and PC1.5 with “increasing UE power high limit” for FDD+TDD combinations.</w:t>
      </w:r>
    </w:p>
    <w:p w14:paraId="2BDD59A1" w14:textId="77777777" w:rsidR="00EA73AA" w:rsidRDefault="00EA73AA" w:rsidP="00EA73AA">
      <w:pPr>
        <w:overflowPunct w:val="0"/>
        <w:autoSpaceDE w:val="0"/>
        <w:autoSpaceDN w:val="0"/>
        <w:adjustRightInd w:val="0"/>
        <w:jc w:val="both"/>
        <w:textAlignment w:val="baseline"/>
        <w:rPr>
          <w:rFonts w:ascii="Arial" w:hAnsi="Arial" w:cs="Arial"/>
          <w:sz w:val="20"/>
          <w:szCs w:val="20"/>
          <w:lang w:val="en-GB"/>
        </w:rPr>
      </w:pPr>
    </w:p>
    <w:p w14:paraId="6F8044E3" w14:textId="31B528C5" w:rsidR="00EA73AA" w:rsidRDefault="00EA73AA" w:rsidP="00EA73AA">
      <w:pPr>
        <w:overflowPunct w:val="0"/>
        <w:autoSpaceDE w:val="0"/>
        <w:autoSpaceDN w:val="0"/>
        <w:adjustRightInd w:val="0"/>
        <w:spacing w:after="120"/>
        <w:jc w:val="both"/>
        <w:textAlignment w:val="baseline"/>
        <w:rPr>
          <w:rFonts w:ascii="Arial" w:hAnsi="Arial" w:cs="Arial"/>
          <w:bCs/>
          <w:i/>
          <w:iCs/>
          <w:sz w:val="20"/>
          <w:szCs w:val="20"/>
        </w:rPr>
      </w:pPr>
      <w:r w:rsidRPr="00E80AA5">
        <w:rPr>
          <w:rFonts w:ascii="Arial" w:hAnsi="Arial" w:cs="Arial"/>
          <w:b/>
          <w:i/>
          <w:iCs/>
          <w:sz w:val="20"/>
          <w:szCs w:val="20"/>
        </w:rPr>
        <w:t>Proposal</w:t>
      </w:r>
      <w:r w:rsidRPr="00E80AA5">
        <w:rPr>
          <w:rFonts w:ascii="Arial" w:hAnsi="Arial" w:cs="Arial"/>
          <w:bCs/>
          <w:i/>
          <w:iCs/>
          <w:sz w:val="20"/>
          <w:szCs w:val="20"/>
        </w:rPr>
        <w:t xml:space="preserve">: RAN to approve a new WID on HPUE with simultaneous 2Tx and 3Tx </w:t>
      </w:r>
      <w:r>
        <w:rPr>
          <w:rFonts w:ascii="Arial" w:hAnsi="Arial" w:cs="Arial"/>
          <w:bCs/>
          <w:i/>
          <w:iCs/>
          <w:sz w:val="20"/>
          <w:szCs w:val="20"/>
        </w:rPr>
        <w:t>comprising</w:t>
      </w:r>
      <w:r w:rsidRPr="00E80AA5">
        <w:rPr>
          <w:rFonts w:ascii="Arial" w:hAnsi="Arial" w:cs="Arial"/>
          <w:bCs/>
          <w:i/>
          <w:iCs/>
          <w:sz w:val="20"/>
          <w:szCs w:val="20"/>
        </w:rPr>
        <w:t xml:space="preserve"> the proposed objectives</w:t>
      </w:r>
      <w:r>
        <w:rPr>
          <w:rFonts w:ascii="Arial" w:hAnsi="Arial" w:cs="Arial"/>
          <w:bCs/>
          <w:i/>
          <w:iCs/>
          <w:sz w:val="20"/>
          <w:szCs w:val="20"/>
        </w:rPr>
        <w:t xml:space="preserve"> in section 3.</w:t>
      </w:r>
    </w:p>
    <w:p w14:paraId="4063FCAD" w14:textId="04AAE9F0" w:rsidR="00EA73AA" w:rsidRPr="00EA73AA" w:rsidRDefault="00EA73AA" w:rsidP="00EA73AA">
      <w:pPr>
        <w:overflowPunct w:val="0"/>
        <w:autoSpaceDE w:val="0"/>
        <w:autoSpaceDN w:val="0"/>
        <w:adjustRightInd w:val="0"/>
        <w:jc w:val="both"/>
        <w:textAlignment w:val="baseline"/>
      </w:pPr>
      <w:r>
        <w:rPr>
          <w:rFonts w:ascii="Arial" w:hAnsi="Arial" w:cs="Arial"/>
          <w:sz w:val="20"/>
          <w:szCs w:val="20"/>
          <w:lang w:val="en-GB"/>
        </w:rPr>
        <w:t xml:space="preserve">  </w:t>
      </w:r>
    </w:p>
    <w:p w14:paraId="4A11169E" w14:textId="274EBD61" w:rsidR="000206DB" w:rsidRPr="00EA73AA" w:rsidRDefault="00EA73AA" w:rsidP="00EA73AA">
      <w:pPr>
        <w:pStyle w:val="Heading1"/>
      </w:pPr>
      <w:r>
        <w:lastRenderedPageBreak/>
        <w:t>5</w:t>
      </w:r>
      <w:r w:rsidR="005E69AE">
        <w:tab/>
        <w:t>References</w:t>
      </w:r>
      <w:bookmarkEnd w:id="0"/>
    </w:p>
    <w:p w14:paraId="49E33B9A" w14:textId="77777777" w:rsidR="00EA73AA" w:rsidRDefault="00EA73AA" w:rsidP="000206DB">
      <w:pPr>
        <w:pStyle w:val="EX"/>
        <w:numPr>
          <w:ilvl w:val="0"/>
          <w:numId w:val="0"/>
        </w:numPr>
        <w:jc w:val="both"/>
        <w:rPr>
          <w:rFonts w:ascii="Arial" w:hAnsi="Arial" w:cs="Arial"/>
        </w:rPr>
      </w:pPr>
    </w:p>
    <w:p w14:paraId="7C42CCD6" w14:textId="1A70E5FD" w:rsidR="0057672C" w:rsidRPr="00E0765D" w:rsidRDefault="001C3E72" w:rsidP="000F3686">
      <w:pPr>
        <w:pStyle w:val="EX"/>
        <w:spacing w:after="180"/>
        <w:ind w:left="374" w:hanging="374"/>
        <w:jc w:val="both"/>
        <w:rPr>
          <w:rFonts w:ascii="Arial" w:hAnsi="Arial" w:cs="Arial"/>
          <w:bCs/>
          <w:sz w:val="20"/>
          <w:szCs w:val="20"/>
        </w:rPr>
      </w:pPr>
      <w:r w:rsidRPr="001C3E72">
        <w:rPr>
          <w:rFonts w:ascii="Arial" w:hAnsi="Arial" w:cs="Arial"/>
          <w:bCs/>
          <w:sz w:val="20"/>
          <w:szCs w:val="20"/>
          <w:lang w:val="en-GB"/>
        </w:rPr>
        <w:t>RP-212163 “New WID: Increasing UE power high limit for CA and DC”, China Telecom, Qualcomm, 3GPP TSG-RAN Meeting #93-e, September 13</w:t>
      </w:r>
      <w:r w:rsidRPr="001C3E72">
        <w:rPr>
          <w:rFonts w:ascii="Arial" w:hAnsi="Arial" w:cs="Arial"/>
          <w:bCs/>
          <w:sz w:val="20"/>
          <w:szCs w:val="20"/>
          <w:vertAlign w:val="superscript"/>
          <w:lang w:val="en-GB"/>
        </w:rPr>
        <w:t>th</w:t>
      </w:r>
      <w:r w:rsidRPr="001C3E72">
        <w:rPr>
          <w:rFonts w:ascii="Arial" w:hAnsi="Arial" w:cs="Arial"/>
          <w:bCs/>
          <w:sz w:val="20"/>
          <w:szCs w:val="20"/>
          <w:lang w:val="en-GB"/>
        </w:rPr>
        <w:t xml:space="preserve"> – 17</w:t>
      </w:r>
      <w:r w:rsidRPr="001C3E72">
        <w:rPr>
          <w:rFonts w:ascii="Arial" w:hAnsi="Arial" w:cs="Arial"/>
          <w:bCs/>
          <w:sz w:val="20"/>
          <w:szCs w:val="20"/>
          <w:vertAlign w:val="superscript"/>
          <w:lang w:val="en-GB"/>
        </w:rPr>
        <w:t>th</w:t>
      </w:r>
      <w:r w:rsidRPr="001C3E72">
        <w:rPr>
          <w:rFonts w:ascii="Arial" w:hAnsi="Arial" w:cs="Arial"/>
          <w:bCs/>
          <w:sz w:val="20"/>
          <w:szCs w:val="20"/>
          <w:lang w:val="en-GB"/>
        </w:rPr>
        <w:t>, 2021</w:t>
      </w:r>
    </w:p>
    <w:p w14:paraId="7833EBAE" w14:textId="16D2A789" w:rsidR="00E0765D" w:rsidRPr="000F3686" w:rsidRDefault="00A07979" w:rsidP="000F3686">
      <w:pPr>
        <w:pStyle w:val="EX"/>
        <w:spacing w:after="180"/>
        <w:ind w:left="374" w:hanging="374"/>
        <w:jc w:val="both"/>
        <w:rPr>
          <w:rFonts w:ascii="Arial" w:hAnsi="Arial" w:cs="Arial"/>
          <w:bCs/>
          <w:sz w:val="20"/>
          <w:szCs w:val="20"/>
        </w:rPr>
      </w:pPr>
      <w:r w:rsidRPr="00A07979">
        <w:rPr>
          <w:rFonts w:ascii="Arial" w:hAnsi="Arial" w:cs="Arial"/>
          <w:bCs/>
          <w:sz w:val="20"/>
          <w:szCs w:val="20"/>
          <w:lang w:val="en-GB"/>
        </w:rPr>
        <w:t>RP-223362</w:t>
      </w:r>
      <w:r w:rsidR="00E0765D">
        <w:rPr>
          <w:rFonts w:ascii="Arial" w:hAnsi="Arial" w:cs="Arial"/>
          <w:bCs/>
          <w:sz w:val="20"/>
          <w:szCs w:val="20"/>
          <w:lang w:val="en-GB"/>
        </w:rPr>
        <w:t xml:space="preserve"> “</w:t>
      </w:r>
      <w:r w:rsidR="00E0765D" w:rsidRPr="00E0765D">
        <w:rPr>
          <w:rFonts w:ascii="Arial" w:hAnsi="Arial" w:cs="Arial"/>
          <w:sz w:val="20"/>
          <w:szCs w:val="20"/>
          <w:lang w:val="en-GB"/>
        </w:rPr>
        <w:t>Rel-18 New WI on HPUE with simultaneous 2Tx and 3Tx</w:t>
      </w:r>
      <w:r w:rsidR="00E0765D">
        <w:rPr>
          <w:rFonts w:ascii="Arial" w:hAnsi="Arial" w:cs="Arial"/>
          <w:sz w:val="20"/>
          <w:szCs w:val="20"/>
          <w:lang w:val="en-GB"/>
        </w:rPr>
        <w:t xml:space="preserve">”, Apple, </w:t>
      </w:r>
      <w:r w:rsidR="00E0765D" w:rsidRPr="00E0765D">
        <w:rPr>
          <w:rFonts w:ascii="Arial" w:hAnsi="Arial" w:cs="Arial"/>
          <w:bCs/>
          <w:sz w:val="20"/>
          <w:szCs w:val="20"/>
          <w:lang w:val="en-GB"/>
        </w:rPr>
        <w:t>3GPP TSG-RAN Meeting #9</w:t>
      </w:r>
      <w:r w:rsidR="00E0765D">
        <w:rPr>
          <w:rFonts w:ascii="Arial" w:hAnsi="Arial" w:cs="Arial"/>
          <w:bCs/>
          <w:sz w:val="20"/>
          <w:szCs w:val="20"/>
          <w:lang w:val="en-GB"/>
        </w:rPr>
        <w:t>8</w:t>
      </w:r>
      <w:r w:rsidR="00E0765D" w:rsidRPr="00E0765D">
        <w:rPr>
          <w:rFonts w:ascii="Arial" w:hAnsi="Arial" w:cs="Arial"/>
          <w:bCs/>
          <w:sz w:val="20"/>
          <w:szCs w:val="20"/>
          <w:lang w:val="en-GB"/>
        </w:rPr>
        <w:t xml:space="preserve">-e, </w:t>
      </w:r>
      <w:r w:rsidR="00E0765D">
        <w:rPr>
          <w:rFonts w:ascii="Arial" w:hAnsi="Arial" w:cs="Arial"/>
          <w:bCs/>
          <w:sz w:val="20"/>
          <w:szCs w:val="20"/>
          <w:lang w:val="en-GB"/>
        </w:rPr>
        <w:t>December</w:t>
      </w:r>
      <w:r w:rsidR="00E0765D" w:rsidRPr="00E0765D">
        <w:rPr>
          <w:rFonts w:ascii="Arial" w:hAnsi="Arial" w:cs="Arial"/>
          <w:bCs/>
          <w:sz w:val="20"/>
          <w:szCs w:val="20"/>
          <w:lang w:val="en-GB"/>
        </w:rPr>
        <w:t xml:space="preserve"> 1</w:t>
      </w:r>
      <w:r w:rsidR="00E0765D">
        <w:rPr>
          <w:rFonts w:ascii="Arial" w:hAnsi="Arial" w:cs="Arial"/>
          <w:bCs/>
          <w:sz w:val="20"/>
          <w:szCs w:val="20"/>
          <w:lang w:val="en-GB"/>
        </w:rPr>
        <w:t>2</w:t>
      </w:r>
      <w:r w:rsidR="00E0765D" w:rsidRPr="00E0765D">
        <w:rPr>
          <w:rFonts w:ascii="Arial" w:hAnsi="Arial" w:cs="Arial"/>
          <w:bCs/>
          <w:sz w:val="20"/>
          <w:szCs w:val="20"/>
          <w:vertAlign w:val="superscript"/>
          <w:lang w:val="en-GB"/>
        </w:rPr>
        <w:t>th</w:t>
      </w:r>
      <w:r w:rsidR="00E0765D" w:rsidRPr="00E0765D">
        <w:rPr>
          <w:rFonts w:ascii="Arial" w:hAnsi="Arial" w:cs="Arial"/>
          <w:bCs/>
          <w:sz w:val="20"/>
          <w:szCs w:val="20"/>
          <w:lang w:val="en-GB"/>
        </w:rPr>
        <w:t xml:space="preserve"> – 1</w:t>
      </w:r>
      <w:r w:rsidR="00E0765D">
        <w:rPr>
          <w:rFonts w:ascii="Arial" w:hAnsi="Arial" w:cs="Arial"/>
          <w:bCs/>
          <w:sz w:val="20"/>
          <w:szCs w:val="20"/>
          <w:lang w:val="en-GB"/>
        </w:rPr>
        <w:t>6</w:t>
      </w:r>
      <w:r w:rsidR="00E0765D" w:rsidRPr="00E0765D">
        <w:rPr>
          <w:rFonts w:ascii="Arial" w:hAnsi="Arial" w:cs="Arial"/>
          <w:bCs/>
          <w:sz w:val="20"/>
          <w:szCs w:val="20"/>
          <w:vertAlign w:val="superscript"/>
          <w:lang w:val="en-GB"/>
        </w:rPr>
        <w:t>th</w:t>
      </w:r>
      <w:r w:rsidR="00E0765D" w:rsidRPr="00E0765D">
        <w:rPr>
          <w:rFonts w:ascii="Arial" w:hAnsi="Arial" w:cs="Arial"/>
          <w:bCs/>
          <w:sz w:val="20"/>
          <w:szCs w:val="20"/>
          <w:lang w:val="en-GB"/>
        </w:rPr>
        <w:t>, 202</w:t>
      </w:r>
      <w:r w:rsidR="00E0765D">
        <w:rPr>
          <w:rFonts w:ascii="Arial" w:hAnsi="Arial" w:cs="Arial"/>
          <w:bCs/>
          <w:sz w:val="20"/>
          <w:szCs w:val="20"/>
          <w:lang w:val="en-GB"/>
        </w:rPr>
        <w:t>2</w:t>
      </w:r>
    </w:p>
    <w:sectPr w:rsidR="00E0765D" w:rsidRPr="000F3686"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23CEC" w14:textId="77777777" w:rsidR="002A4425" w:rsidRDefault="002A4425">
      <w:r>
        <w:separator/>
      </w:r>
    </w:p>
  </w:endnote>
  <w:endnote w:type="continuationSeparator" w:id="0">
    <w:p w14:paraId="09514640" w14:textId="77777777" w:rsidR="002A4425" w:rsidRDefault="002A4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9EFBA" w14:textId="77777777" w:rsidR="002A4425" w:rsidRDefault="002A4425">
      <w:r>
        <w:separator/>
      </w:r>
    </w:p>
  </w:footnote>
  <w:footnote w:type="continuationSeparator" w:id="0">
    <w:p w14:paraId="4230F5E7" w14:textId="77777777" w:rsidR="002A4425" w:rsidRDefault="002A44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3B25393"/>
    <w:multiLevelType w:val="hybridMultilevel"/>
    <w:tmpl w:val="E7786D2C"/>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780" w:hanging="360"/>
      </w:pPr>
      <w:rPr>
        <w:rFonts w:ascii="Symbol" w:hAnsi="Symbol"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13DD2876"/>
    <w:multiLevelType w:val="hybridMultilevel"/>
    <w:tmpl w:val="4FEA3170"/>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04190005">
      <w:start w:val="1"/>
      <w:numFmt w:val="bullet"/>
      <w:lvlText w:val=""/>
      <w:lvlJc w:val="left"/>
      <w:pPr>
        <w:ind w:left="1200" w:hanging="36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7B09B6"/>
    <w:multiLevelType w:val="multilevel"/>
    <w:tmpl w:val="297B09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2175B04"/>
    <w:multiLevelType w:val="hybridMultilevel"/>
    <w:tmpl w:val="BF92E934"/>
    <w:lvl w:ilvl="0" w:tplc="04090001">
      <w:start w:val="1"/>
      <w:numFmt w:val="bullet"/>
      <w:lvlText w:val=""/>
      <w:lvlJc w:val="left"/>
      <w:pPr>
        <w:ind w:left="420" w:hanging="420"/>
      </w:pPr>
      <w:rPr>
        <w:rFonts w:ascii="Wingdings" w:hAnsi="Wingdings" w:hint="default"/>
      </w:rPr>
    </w:lvl>
    <w:lvl w:ilvl="1" w:tplc="5396FC28">
      <w:start w:val="1"/>
      <w:numFmt w:val="bullet"/>
      <w:lvlText w:val=""/>
      <w:lvlJc w:val="left"/>
      <w:pPr>
        <w:ind w:left="780" w:hanging="360"/>
      </w:pPr>
      <w:rPr>
        <w:rFonts w:ascii="Symbol" w:hAnsi="Symbol"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201353"/>
    <w:multiLevelType w:val="hybridMultilevel"/>
    <w:tmpl w:val="78D05D32"/>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780" w:hanging="360"/>
      </w:pPr>
      <w:rPr>
        <w:rFonts w:ascii="Symbol" w:hAnsi="Symbol"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A8D05A4"/>
    <w:multiLevelType w:val="hybridMultilevel"/>
    <w:tmpl w:val="EE141798"/>
    <w:lvl w:ilvl="0" w:tplc="8564E1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BC83A3C"/>
    <w:multiLevelType w:val="hybridMultilevel"/>
    <w:tmpl w:val="1FAAFE6C"/>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04190005">
      <w:start w:val="1"/>
      <w:numFmt w:val="bullet"/>
      <w:lvlText w:val=""/>
      <w:lvlJc w:val="left"/>
      <w:pPr>
        <w:ind w:left="1200" w:hanging="36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3C820A0F"/>
    <w:multiLevelType w:val="hybridMultilevel"/>
    <w:tmpl w:val="FE0A823C"/>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780" w:hanging="360"/>
      </w:pPr>
      <w:rPr>
        <w:rFonts w:ascii="Symbol" w:hAnsi="Symbol"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9E1927"/>
    <w:multiLevelType w:val="hybridMultilevel"/>
    <w:tmpl w:val="240E8468"/>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04190005">
      <w:start w:val="1"/>
      <w:numFmt w:val="bullet"/>
      <w:lvlText w:val=""/>
      <w:lvlJc w:val="left"/>
      <w:pPr>
        <w:ind w:left="1200" w:hanging="36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615557BD"/>
    <w:multiLevelType w:val="hybridMultilevel"/>
    <w:tmpl w:val="9CC6F516"/>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780" w:hanging="360"/>
      </w:pPr>
      <w:rPr>
        <w:rFonts w:ascii="Symbol" w:hAnsi="Symbol"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66E23DBC"/>
    <w:multiLevelType w:val="hybridMultilevel"/>
    <w:tmpl w:val="A028B668"/>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04190005">
      <w:start w:val="1"/>
      <w:numFmt w:val="bullet"/>
      <w:lvlText w:val=""/>
      <w:lvlJc w:val="left"/>
      <w:pPr>
        <w:ind w:left="1200" w:hanging="36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67E036F6"/>
    <w:multiLevelType w:val="hybridMultilevel"/>
    <w:tmpl w:val="777E8642"/>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780" w:hanging="360"/>
      </w:pPr>
      <w:rPr>
        <w:rFonts w:ascii="Symbol" w:hAnsi="Symbol"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25"/>
  </w:num>
  <w:num w:numId="5" w16cid:durableId="977950936">
    <w:abstractNumId w:val="2"/>
  </w:num>
  <w:num w:numId="6" w16cid:durableId="1850876431">
    <w:abstractNumId w:val="2"/>
  </w:num>
  <w:num w:numId="7" w16cid:durableId="428896142">
    <w:abstractNumId w:val="16"/>
  </w:num>
  <w:num w:numId="8" w16cid:durableId="2080327107">
    <w:abstractNumId w:val="3"/>
  </w:num>
  <w:num w:numId="9" w16cid:durableId="459036515">
    <w:abstractNumId w:val="19"/>
  </w:num>
  <w:num w:numId="10" w16cid:durableId="892421984">
    <w:abstractNumId w:val="6"/>
  </w:num>
  <w:num w:numId="11" w16cid:durableId="973826835">
    <w:abstractNumId w:val="7"/>
  </w:num>
  <w:num w:numId="12" w16cid:durableId="48696969">
    <w:abstractNumId w:val="28"/>
  </w:num>
  <w:num w:numId="13" w16cid:durableId="1621182100">
    <w:abstractNumId w:val="9"/>
  </w:num>
  <w:num w:numId="14" w16cid:durableId="681855791">
    <w:abstractNumId w:val="10"/>
  </w:num>
  <w:num w:numId="15" w16cid:durableId="1387412062">
    <w:abstractNumId w:val="20"/>
  </w:num>
  <w:num w:numId="16" w16cid:durableId="1707214678">
    <w:abstractNumId w:val="29"/>
  </w:num>
  <w:num w:numId="17" w16cid:durableId="1228883719">
    <w:abstractNumId w:val="14"/>
  </w:num>
  <w:num w:numId="18" w16cid:durableId="1736001611">
    <w:abstractNumId w:val="8"/>
  </w:num>
  <w:num w:numId="19" w16cid:durableId="1708026189">
    <w:abstractNumId w:val="27"/>
  </w:num>
  <w:num w:numId="20" w16cid:durableId="193615350">
    <w:abstractNumId w:val="11"/>
  </w:num>
  <w:num w:numId="21" w16cid:durableId="1478179975">
    <w:abstractNumId w:val="15"/>
  </w:num>
  <w:num w:numId="22" w16cid:durableId="1179854639">
    <w:abstractNumId w:val="26"/>
  </w:num>
  <w:num w:numId="23" w16cid:durableId="1664627729">
    <w:abstractNumId w:val="12"/>
  </w:num>
  <w:num w:numId="24" w16cid:durableId="930237549">
    <w:abstractNumId w:val="4"/>
  </w:num>
  <w:num w:numId="25" w16cid:durableId="687096495">
    <w:abstractNumId w:val="18"/>
  </w:num>
  <w:num w:numId="26" w16cid:durableId="1963415837">
    <w:abstractNumId w:val="13"/>
  </w:num>
  <w:num w:numId="27" w16cid:durableId="64500090">
    <w:abstractNumId w:val="22"/>
  </w:num>
  <w:num w:numId="28" w16cid:durableId="1314211719">
    <w:abstractNumId w:val="24"/>
  </w:num>
  <w:num w:numId="29" w16cid:durableId="1087461293">
    <w:abstractNumId w:val="17"/>
  </w:num>
  <w:num w:numId="30" w16cid:durableId="1475952603">
    <w:abstractNumId w:val="23"/>
  </w:num>
  <w:num w:numId="31" w16cid:durableId="2097743815">
    <w:abstractNumId w:val="21"/>
  </w:num>
  <w:num w:numId="32" w16cid:durableId="208537020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4E213A"/>
    <w:rsid w:val="0000623D"/>
    <w:rsid w:val="00011CAD"/>
    <w:rsid w:val="00014526"/>
    <w:rsid w:val="0001496C"/>
    <w:rsid w:val="0001503B"/>
    <w:rsid w:val="00015E83"/>
    <w:rsid w:val="00016134"/>
    <w:rsid w:val="000206DB"/>
    <w:rsid w:val="00023B9C"/>
    <w:rsid w:val="00033397"/>
    <w:rsid w:val="000352E2"/>
    <w:rsid w:val="0003651E"/>
    <w:rsid w:val="00040095"/>
    <w:rsid w:val="00040A8C"/>
    <w:rsid w:val="000446B1"/>
    <w:rsid w:val="00044DE2"/>
    <w:rsid w:val="00051834"/>
    <w:rsid w:val="000526D6"/>
    <w:rsid w:val="00054529"/>
    <w:rsid w:val="00054A22"/>
    <w:rsid w:val="000572D5"/>
    <w:rsid w:val="000607C9"/>
    <w:rsid w:val="00061B4F"/>
    <w:rsid w:val="00062023"/>
    <w:rsid w:val="000655A6"/>
    <w:rsid w:val="00066C19"/>
    <w:rsid w:val="0006704A"/>
    <w:rsid w:val="00075B78"/>
    <w:rsid w:val="00080512"/>
    <w:rsid w:val="00080638"/>
    <w:rsid w:val="0008297C"/>
    <w:rsid w:val="00095EA8"/>
    <w:rsid w:val="000A0C3B"/>
    <w:rsid w:val="000A365D"/>
    <w:rsid w:val="000A68F3"/>
    <w:rsid w:val="000B61FB"/>
    <w:rsid w:val="000C018E"/>
    <w:rsid w:val="000C16C8"/>
    <w:rsid w:val="000C47C3"/>
    <w:rsid w:val="000C78DB"/>
    <w:rsid w:val="000D0571"/>
    <w:rsid w:val="000D3827"/>
    <w:rsid w:val="000D50E3"/>
    <w:rsid w:val="000D58AB"/>
    <w:rsid w:val="000D6A52"/>
    <w:rsid w:val="000E0695"/>
    <w:rsid w:val="000E1A37"/>
    <w:rsid w:val="000E1CAF"/>
    <w:rsid w:val="000E5C88"/>
    <w:rsid w:val="000E751D"/>
    <w:rsid w:val="000F21E4"/>
    <w:rsid w:val="000F3156"/>
    <w:rsid w:val="000F3686"/>
    <w:rsid w:val="00104BC6"/>
    <w:rsid w:val="00104CDD"/>
    <w:rsid w:val="00104FCA"/>
    <w:rsid w:val="00113A07"/>
    <w:rsid w:val="00114E2C"/>
    <w:rsid w:val="0011748D"/>
    <w:rsid w:val="00121103"/>
    <w:rsid w:val="0012418E"/>
    <w:rsid w:val="00133525"/>
    <w:rsid w:val="00141326"/>
    <w:rsid w:val="00141FA3"/>
    <w:rsid w:val="00142747"/>
    <w:rsid w:val="00146BF3"/>
    <w:rsid w:val="001476E2"/>
    <w:rsid w:val="0015786B"/>
    <w:rsid w:val="001645BD"/>
    <w:rsid w:val="001655BB"/>
    <w:rsid w:val="0016611C"/>
    <w:rsid w:val="00166B5C"/>
    <w:rsid w:val="0017591E"/>
    <w:rsid w:val="00176183"/>
    <w:rsid w:val="001775AC"/>
    <w:rsid w:val="00181118"/>
    <w:rsid w:val="001825F0"/>
    <w:rsid w:val="00183720"/>
    <w:rsid w:val="0018372A"/>
    <w:rsid w:val="001841B1"/>
    <w:rsid w:val="00185E52"/>
    <w:rsid w:val="00197470"/>
    <w:rsid w:val="001A410D"/>
    <w:rsid w:val="001A4C42"/>
    <w:rsid w:val="001A6141"/>
    <w:rsid w:val="001A7772"/>
    <w:rsid w:val="001B7371"/>
    <w:rsid w:val="001C21C3"/>
    <w:rsid w:val="001C3E72"/>
    <w:rsid w:val="001C5B11"/>
    <w:rsid w:val="001C64E9"/>
    <w:rsid w:val="001D02C2"/>
    <w:rsid w:val="001D1408"/>
    <w:rsid w:val="001D1470"/>
    <w:rsid w:val="001D2A82"/>
    <w:rsid w:val="001E0A62"/>
    <w:rsid w:val="001E145D"/>
    <w:rsid w:val="001F0C1D"/>
    <w:rsid w:val="001F1132"/>
    <w:rsid w:val="001F168B"/>
    <w:rsid w:val="001F6FF3"/>
    <w:rsid w:val="00204648"/>
    <w:rsid w:val="002058CF"/>
    <w:rsid w:val="00210E0A"/>
    <w:rsid w:val="002155A1"/>
    <w:rsid w:val="00215C07"/>
    <w:rsid w:val="00216772"/>
    <w:rsid w:val="0021744E"/>
    <w:rsid w:val="0022541F"/>
    <w:rsid w:val="00231349"/>
    <w:rsid w:val="002347A2"/>
    <w:rsid w:val="00234D70"/>
    <w:rsid w:val="00240C29"/>
    <w:rsid w:val="002450A4"/>
    <w:rsid w:val="00247926"/>
    <w:rsid w:val="00252158"/>
    <w:rsid w:val="00255EAC"/>
    <w:rsid w:val="002608DE"/>
    <w:rsid w:val="00261B7C"/>
    <w:rsid w:val="002637C2"/>
    <w:rsid w:val="0026424E"/>
    <w:rsid w:val="002675F0"/>
    <w:rsid w:val="00274A90"/>
    <w:rsid w:val="00276C70"/>
    <w:rsid w:val="00276EE4"/>
    <w:rsid w:val="00277172"/>
    <w:rsid w:val="00277585"/>
    <w:rsid w:val="00277626"/>
    <w:rsid w:val="00281680"/>
    <w:rsid w:val="0028193A"/>
    <w:rsid w:val="0028485D"/>
    <w:rsid w:val="0029079A"/>
    <w:rsid w:val="00293BAE"/>
    <w:rsid w:val="00296065"/>
    <w:rsid w:val="002A07F2"/>
    <w:rsid w:val="002A1BA3"/>
    <w:rsid w:val="002A2A03"/>
    <w:rsid w:val="002A394A"/>
    <w:rsid w:val="002A4425"/>
    <w:rsid w:val="002A466C"/>
    <w:rsid w:val="002A51BE"/>
    <w:rsid w:val="002A797D"/>
    <w:rsid w:val="002B1B99"/>
    <w:rsid w:val="002B36A1"/>
    <w:rsid w:val="002B6339"/>
    <w:rsid w:val="002B6EF4"/>
    <w:rsid w:val="002C011F"/>
    <w:rsid w:val="002C2BBA"/>
    <w:rsid w:val="002C79FA"/>
    <w:rsid w:val="002D2519"/>
    <w:rsid w:val="002D2B19"/>
    <w:rsid w:val="002D3298"/>
    <w:rsid w:val="002D405E"/>
    <w:rsid w:val="002D61E3"/>
    <w:rsid w:val="002D77A3"/>
    <w:rsid w:val="002E00EE"/>
    <w:rsid w:val="002E16DC"/>
    <w:rsid w:val="002E7318"/>
    <w:rsid w:val="002E78C1"/>
    <w:rsid w:val="002F4933"/>
    <w:rsid w:val="002F4F9E"/>
    <w:rsid w:val="002F5031"/>
    <w:rsid w:val="00302907"/>
    <w:rsid w:val="00302C30"/>
    <w:rsid w:val="00302E47"/>
    <w:rsid w:val="00303267"/>
    <w:rsid w:val="0030430D"/>
    <w:rsid w:val="00311180"/>
    <w:rsid w:val="00312C7F"/>
    <w:rsid w:val="00314818"/>
    <w:rsid w:val="003172DC"/>
    <w:rsid w:val="00322C5B"/>
    <w:rsid w:val="00327934"/>
    <w:rsid w:val="00327D7A"/>
    <w:rsid w:val="003304FE"/>
    <w:rsid w:val="003325B7"/>
    <w:rsid w:val="00335F34"/>
    <w:rsid w:val="0034052F"/>
    <w:rsid w:val="00341266"/>
    <w:rsid w:val="00342193"/>
    <w:rsid w:val="0035462D"/>
    <w:rsid w:val="00357B94"/>
    <w:rsid w:val="00360244"/>
    <w:rsid w:val="00365E86"/>
    <w:rsid w:val="003765B8"/>
    <w:rsid w:val="003772E9"/>
    <w:rsid w:val="00383036"/>
    <w:rsid w:val="00385F91"/>
    <w:rsid w:val="00390FFB"/>
    <w:rsid w:val="003931FE"/>
    <w:rsid w:val="003946F3"/>
    <w:rsid w:val="0039506D"/>
    <w:rsid w:val="0039590F"/>
    <w:rsid w:val="0039702E"/>
    <w:rsid w:val="003A0483"/>
    <w:rsid w:val="003A66C6"/>
    <w:rsid w:val="003A75E4"/>
    <w:rsid w:val="003B468C"/>
    <w:rsid w:val="003B56B1"/>
    <w:rsid w:val="003C1669"/>
    <w:rsid w:val="003C3971"/>
    <w:rsid w:val="003C430A"/>
    <w:rsid w:val="003C4B24"/>
    <w:rsid w:val="003C51AE"/>
    <w:rsid w:val="003C5468"/>
    <w:rsid w:val="003C6A8C"/>
    <w:rsid w:val="003C7E3B"/>
    <w:rsid w:val="003D0F89"/>
    <w:rsid w:val="003D7A05"/>
    <w:rsid w:val="003D7AB5"/>
    <w:rsid w:val="003E62C7"/>
    <w:rsid w:val="003E7753"/>
    <w:rsid w:val="003E7ED9"/>
    <w:rsid w:val="003F0C6B"/>
    <w:rsid w:val="003F1DE5"/>
    <w:rsid w:val="003F275D"/>
    <w:rsid w:val="003F474B"/>
    <w:rsid w:val="003F6ACE"/>
    <w:rsid w:val="003F6DEF"/>
    <w:rsid w:val="003F760D"/>
    <w:rsid w:val="004007D9"/>
    <w:rsid w:val="00401944"/>
    <w:rsid w:val="0040386F"/>
    <w:rsid w:val="004166A1"/>
    <w:rsid w:val="0041733B"/>
    <w:rsid w:val="00420FB8"/>
    <w:rsid w:val="00423334"/>
    <w:rsid w:val="00423B10"/>
    <w:rsid w:val="00426737"/>
    <w:rsid w:val="0043242D"/>
    <w:rsid w:val="004345EC"/>
    <w:rsid w:val="004518DE"/>
    <w:rsid w:val="00453FE3"/>
    <w:rsid w:val="00463240"/>
    <w:rsid w:val="00464930"/>
    <w:rsid w:val="00470E29"/>
    <w:rsid w:val="0047230B"/>
    <w:rsid w:val="004728B7"/>
    <w:rsid w:val="0047564A"/>
    <w:rsid w:val="00475AC6"/>
    <w:rsid w:val="004768DA"/>
    <w:rsid w:val="004812DD"/>
    <w:rsid w:val="004819D5"/>
    <w:rsid w:val="004826A9"/>
    <w:rsid w:val="0048483C"/>
    <w:rsid w:val="00484B1E"/>
    <w:rsid w:val="004A3C54"/>
    <w:rsid w:val="004A3D27"/>
    <w:rsid w:val="004A4724"/>
    <w:rsid w:val="004A48FA"/>
    <w:rsid w:val="004A5DB3"/>
    <w:rsid w:val="004A616F"/>
    <w:rsid w:val="004B2CAA"/>
    <w:rsid w:val="004B3447"/>
    <w:rsid w:val="004B5861"/>
    <w:rsid w:val="004B5C7F"/>
    <w:rsid w:val="004C15E6"/>
    <w:rsid w:val="004C1601"/>
    <w:rsid w:val="004C1615"/>
    <w:rsid w:val="004C6022"/>
    <w:rsid w:val="004C7C52"/>
    <w:rsid w:val="004D3578"/>
    <w:rsid w:val="004D5ADE"/>
    <w:rsid w:val="004D5EB9"/>
    <w:rsid w:val="004E213A"/>
    <w:rsid w:val="004E219E"/>
    <w:rsid w:val="004E2762"/>
    <w:rsid w:val="004F0988"/>
    <w:rsid w:val="004F3340"/>
    <w:rsid w:val="004F3E3D"/>
    <w:rsid w:val="004F6AF4"/>
    <w:rsid w:val="004F7D81"/>
    <w:rsid w:val="004F7DEF"/>
    <w:rsid w:val="005038CA"/>
    <w:rsid w:val="00507857"/>
    <w:rsid w:val="00523AE4"/>
    <w:rsid w:val="00523F59"/>
    <w:rsid w:val="00531036"/>
    <w:rsid w:val="0053388B"/>
    <w:rsid w:val="00534BE5"/>
    <w:rsid w:val="00535773"/>
    <w:rsid w:val="00543E6C"/>
    <w:rsid w:val="00556D61"/>
    <w:rsid w:val="005606B7"/>
    <w:rsid w:val="00563714"/>
    <w:rsid w:val="005644F8"/>
    <w:rsid w:val="00565087"/>
    <w:rsid w:val="00567534"/>
    <w:rsid w:val="00572E14"/>
    <w:rsid w:val="0057672C"/>
    <w:rsid w:val="005776DB"/>
    <w:rsid w:val="005834F5"/>
    <w:rsid w:val="00594F57"/>
    <w:rsid w:val="005973BE"/>
    <w:rsid w:val="005A4921"/>
    <w:rsid w:val="005A5986"/>
    <w:rsid w:val="005A656C"/>
    <w:rsid w:val="005A7809"/>
    <w:rsid w:val="005B363E"/>
    <w:rsid w:val="005B3763"/>
    <w:rsid w:val="005B6FA8"/>
    <w:rsid w:val="005B74DA"/>
    <w:rsid w:val="005C2501"/>
    <w:rsid w:val="005C25FF"/>
    <w:rsid w:val="005C43AC"/>
    <w:rsid w:val="005D0BA9"/>
    <w:rsid w:val="005D2525"/>
    <w:rsid w:val="005D2E01"/>
    <w:rsid w:val="005D7526"/>
    <w:rsid w:val="005E0607"/>
    <w:rsid w:val="005E2982"/>
    <w:rsid w:val="005E5399"/>
    <w:rsid w:val="005E66AC"/>
    <w:rsid w:val="005E69AE"/>
    <w:rsid w:val="005F23E7"/>
    <w:rsid w:val="005F2F54"/>
    <w:rsid w:val="005F39D5"/>
    <w:rsid w:val="005F696B"/>
    <w:rsid w:val="0060129F"/>
    <w:rsid w:val="006023EA"/>
    <w:rsid w:val="00602AEA"/>
    <w:rsid w:val="006073EA"/>
    <w:rsid w:val="00607E3C"/>
    <w:rsid w:val="00610053"/>
    <w:rsid w:val="00610715"/>
    <w:rsid w:val="00614FDF"/>
    <w:rsid w:val="006151BD"/>
    <w:rsid w:val="00615B1C"/>
    <w:rsid w:val="006234AA"/>
    <w:rsid w:val="00623F3E"/>
    <w:rsid w:val="00624566"/>
    <w:rsid w:val="006246A7"/>
    <w:rsid w:val="00625205"/>
    <w:rsid w:val="0062595A"/>
    <w:rsid w:val="00626E69"/>
    <w:rsid w:val="006301E8"/>
    <w:rsid w:val="006314F8"/>
    <w:rsid w:val="0063543D"/>
    <w:rsid w:val="00647114"/>
    <w:rsid w:val="006528E0"/>
    <w:rsid w:val="00656B9D"/>
    <w:rsid w:val="00662106"/>
    <w:rsid w:val="00663541"/>
    <w:rsid w:val="0066559E"/>
    <w:rsid w:val="00665CD4"/>
    <w:rsid w:val="0068290F"/>
    <w:rsid w:val="0068530E"/>
    <w:rsid w:val="00685A6F"/>
    <w:rsid w:val="00687D57"/>
    <w:rsid w:val="006A2C3D"/>
    <w:rsid w:val="006A323F"/>
    <w:rsid w:val="006A7137"/>
    <w:rsid w:val="006A7DEF"/>
    <w:rsid w:val="006B30D0"/>
    <w:rsid w:val="006C228A"/>
    <w:rsid w:val="006C3D95"/>
    <w:rsid w:val="006C6B22"/>
    <w:rsid w:val="006D0A3C"/>
    <w:rsid w:val="006D0F9A"/>
    <w:rsid w:val="006D7B72"/>
    <w:rsid w:val="006E4AAA"/>
    <w:rsid w:val="006E5C86"/>
    <w:rsid w:val="006F137C"/>
    <w:rsid w:val="006F2924"/>
    <w:rsid w:val="006F4A2D"/>
    <w:rsid w:val="006F5C12"/>
    <w:rsid w:val="00701A75"/>
    <w:rsid w:val="0070297F"/>
    <w:rsid w:val="0070556D"/>
    <w:rsid w:val="00707B3D"/>
    <w:rsid w:val="00707D4D"/>
    <w:rsid w:val="00711CF9"/>
    <w:rsid w:val="00713C44"/>
    <w:rsid w:val="0071674C"/>
    <w:rsid w:val="0072712F"/>
    <w:rsid w:val="007302D6"/>
    <w:rsid w:val="00734564"/>
    <w:rsid w:val="00734A5B"/>
    <w:rsid w:val="0074026F"/>
    <w:rsid w:val="007427A5"/>
    <w:rsid w:val="007429F6"/>
    <w:rsid w:val="00744E3A"/>
    <w:rsid w:val="00744E76"/>
    <w:rsid w:val="0075000F"/>
    <w:rsid w:val="00752198"/>
    <w:rsid w:val="007534AC"/>
    <w:rsid w:val="00753881"/>
    <w:rsid w:val="007551EB"/>
    <w:rsid w:val="00757410"/>
    <w:rsid w:val="0076084E"/>
    <w:rsid w:val="00762B40"/>
    <w:rsid w:val="00765AB3"/>
    <w:rsid w:val="00765B58"/>
    <w:rsid w:val="00772FB5"/>
    <w:rsid w:val="00774DA4"/>
    <w:rsid w:val="00781F0F"/>
    <w:rsid w:val="00782AD9"/>
    <w:rsid w:val="007833DA"/>
    <w:rsid w:val="00786455"/>
    <w:rsid w:val="00787B15"/>
    <w:rsid w:val="0079544F"/>
    <w:rsid w:val="007A44A6"/>
    <w:rsid w:val="007A57AC"/>
    <w:rsid w:val="007A6283"/>
    <w:rsid w:val="007A7C22"/>
    <w:rsid w:val="007B5627"/>
    <w:rsid w:val="007B5B06"/>
    <w:rsid w:val="007B600E"/>
    <w:rsid w:val="007C2090"/>
    <w:rsid w:val="007C49AE"/>
    <w:rsid w:val="007D12CB"/>
    <w:rsid w:val="007D1CA7"/>
    <w:rsid w:val="007D4A65"/>
    <w:rsid w:val="007E1E1E"/>
    <w:rsid w:val="007E27DA"/>
    <w:rsid w:val="007E5AE9"/>
    <w:rsid w:val="007E6354"/>
    <w:rsid w:val="007F0F4A"/>
    <w:rsid w:val="007F1C98"/>
    <w:rsid w:val="007F1CFA"/>
    <w:rsid w:val="008028A4"/>
    <w:rsid w:val="00802B8D"/>
    <w:rsid w:val="00802C23"/>
    <w:rsid w:val="00805884"/>
    <w:rsid w:val="00806B4A"/>
    <w:rsid w:val="00806E29"/>
    <w:rsid w:val="00814664"/>
    <w:rsid w:val="00814EEB"/>
    <w:rsid w:val="0081569B"/>
    <w:rsid w:val="00816333"/>
    <w:rsid w:val="00816809"/>
    <w:rsid w:val="0081783A"/>
    <w:rsid w:val="00820B25"/>
    <w:rsid w:val="0082461B"/>
    <w:rsid w:val="0082493D"/>
    <w:rsid w:val="00825EDF"/>
    <w:rsid w:val="00826884"/>
    <w:rsid w:val="00830747"/>
    <w:rsid w:val="00835E91"/>
    <w:rsid w:val="0083755B"/>
    <w:rsid w:val="00840DCA"/>
    <w:rsid w:val="008447C6"/>
    <w:rsid w:val="008454C5"/>
    <w:rsid w:val="00851681"/>
    <w:rsid w:val="0085227D"/>
    <w:rsid w:val="00854543"/>
    <w:rsid w:val="0085666A"/>
    <w:rsid w:val="00870EB0"/>
    <w:rsid w:val="008768CA"/>
    <w:rsid w:val="00880889"/>
    <w:rsid w:val="00886F35"/>
    <w:rsid w:val="0089062C"/>
    <w:rsid w:val="00895E23"/>
    <w:rsid w:val="008A3527"/>
    <w:rsid w:val="008A5F18"/>
    <w:rsid w:val="008A78FF"/>
    <w:rsid w:val="008C2245"/>
    <w:rsid w:val="008C384C"/>
    <w:rsid w:val="008C494B"/>
    <w:rsid w:val="008D4F18"/>
    <w:rsid w:val="008E2413"/>
    <w:rsid w:val="008E277C"/>
    <w:rsid w:val="008E7986"/>
    <w:rsid w:val="008F29A8"/>
    <w:rsid w:val="008F626A"/>
    <w:rsid w:val="008F7DBB"/>
    <w:rsid w:val="0090271F"/>
    <w:rsid w:val="00902E23"/>
    <w:rsid w:val="009034DD"/>
    <w:rsid w:val="00907543"/>
    <w:rsid w:val="00907808"/>
    <w:rsid w:val="0091018D"/>
    <w:rsid w:val="009114D7"/>
    <w:rsid w:val="009122BC"/>
    <w:rsid w:val="0091348E"/>
    <w:rsid w:val="0091435F"/>
    <w:rsid w:val="00914B4B"/>
    <w:rsid w:val="00916637"/>
    <w:rsid w:val="00917334"/>
    <w:rsid w:val="00917CCB"/>
    <w:rsid w:val="00921E71"/>
    <w:rsid w:val="00924C53"/>
    <w:rsid w:val="00925BDF"/>
    <w:rsid w:val="00930919"/>
    <w:rsid w:val="0093313C"/>
    <w:rsid w:val="00934C80"/>
    <w:rsid w:val="00935136"/>
    <w:rsid w:val="00937D26"/>
    <w:rsid w:val="00942EC2"/>
    <w:rsid w:val="0094625B"/>
    <w:rsid w:val="00952E04"/>
    <w:rsid w:val="00955390"/>
    <w:rsid w:val="009574BA"/>
    <w:rsid w:val="00957852"/>
    <w:rsid w:val="00957B49"/>
    <w:rsid w:val="00964DA3"/>
    <w:rsid w:val="00965947"/>
    <w:rsid w:val="00965ED0"/>
    <w:rsid w:val="00973E07"/>
    <w:rsid w:val="0097503B"/>
    <w:rsid w:val="009751F6"/>
    <w:rsid w:val="009918E9"/>
    <w:rsid w:val="009929FF"/>
    <w:rsid w:val="00996789"/>
    <w:rsid w:val="009A227B"/>
    <w:rsid w:val="009A5BBC"/>
    <w:rsid w:val="009B18E3"/>
    <w:rsid w:val="009B236A"/>
    <w:rsid w:val="009B373D"/>
    <w:rsid w:val="009B3A45"/>
    <w:rsid w:val="009C2313"/>
    <w:rsid w:val="009C3639"/>
    <w:rsid w:val="009C4F99"/>
    <w:rsid w:val="009D2B95"/>
    <w:rsid w:val="009D4870"/>
    <w:rsid w:val="009D528F"/>
    <w:rsid w:val="009D63DD"/>
    <w:rsid w:val="009E0351"/>
    <w:rsid w:val="009E23D5"/>
    <w:rsid w:val="009E643A"/>
    <w:rsid w:val="009F37B7"/>
    <w:rsid w:val="009F5E43"/>
    <w:rsid w:val="00A0194F"/>
    <w:rsid w:val="00A02BA9"/>
    <w:rsid w:val="00A04574"/>
    <w:rsid w:val="00A06AAF"/>
    <w:rsid w:val="00A07979"/>
    <w:rsid w:val="00A102F2"/>
    <w:rsid w:val="00A10F02"/>
    <w:rsid w:val="00A13BCD"/>
    <w:rsid w:val="00A13C2E"/>
    <w:rsid w:val="00A14182"/>
    <w:rsid w:val="00A14D3F"/>
    <w:rsid w:val="00A164B4"/>
    <w:rsid w:val="00A168D7"/>
    <w:rsid w:val="00A20472"/>
    <w:rsid w:val="00A21486"/>
    <w:rsid w:val="00A2152A"/>
    <w:rsid w:val="00A2222B"/>
    <w:rsid w:val="00A26248"/>
    <w:rsid w:val="00A26956"/>
    <w:rsid w:val="00A3009E"/>
    <w:rsid w:val="00A31634"/>
    <w:rsid w:val="00A334E3"/>
    <w:rsid w:val="00A359A1"/>
    <w:rsid w:val="00A41BB8"/>
    <w:rsid w:val="00A5177F"/>
    <w:rsid w:val="00A517B0"/>
    <w:rsid w:val="00A51D63"/>
    <w:rsid w:val="00A51E6C"/>
    <w:rsid w:val="00A53724"/>
    <w:rsid w:val="00A53FE0"/>
    <w:rsid w:val="00A542F7"/>
    <w:rsid w:val="00A5609E"/>
    <w:rsid w:val="00A61A9D"/>
    <w:rsid w:val="00A625A6"/>
    <w:rsid w:val="00A62B36"/>
    <w:rsid w:val="00A67389"/>
    <w:rsid w:val="00A67816"/>
    <w:rsid w:val="00A70BF5"/>
    <w:rsid w:val="00A7175A"/>
    <w:rsid w:val="00A73129"/>
    <w:rsid w:val="00A747AC"/>
    <w:rsid w:val="00A75621"/>
    <w:rsid w:val="00A82346"/>
    <w:rsid w:val="00A83518"/>
    <w:rsid w:val="00A853D2"/>
    <w:rsid w:val="00A9004D"/>
    <w:rsid w:val="00A92BA1"/>
    <w:rsid w:val="00A942D0"/>
    <w:rsid w:val="00A95BC2"/>
    <w:rsid w:val="00A95DCB"/>
    <w:rsid w:val="00AA286D"/>
    <w:rsid w:val="00AA3D5D"/>
    <w:rsid w:val="00AA5A3D"/>
    <w:rsid w:val="00AB1619"/>
    <w:rsid w:val="00AB4AB2"/>
    <w:rsid w:val="00AB5A96"/>
    <w:rsid w:val="00AC0150"/>
    <w:rsid w:val="00AC3CC6"/>
    <w:rsid w:val="00AC541B"/>
    <w:rsid w:val="00AC6BC6"/>
    <w:rsid w:val="00AD18D5"/>
    <w:rsid w:val="00AD32E7"/>
    <w:rsid w:val="00AD5F64"/>
    <w:rsid w:val="00AE2047"/>
    <w:rsid w:val="00AE3797"/>
    <w:rsid w:val="00AF4842"/>
    <w:rsid w:val="00AF7AB0"/>
    <w:rsid w:val="00B05345"/>
    <w:rsid w:val="00B059F1"/>
    <w:rsid w:val="00B06112"/>
    <w:rsid w:val="00B128FD"/>
    <w:rsid w:val="00B14630"/>
    <w:rsid w:val="00B150E6"/>
    <w:rsid w:val="00B15449"/>
    <w:rsid w:val="00B21C27"/>
    <w:rsid w:val="00B3227E"/>
    <w:rsid w:val="00B35505"/>
    <w:rsid w:val="00B37C70"/>
    <w:rsid w:val="00B42AB8"/>
    <w:rsid w:val="00B44F81"/>
    <w:rsid w:val="00B50264"/>
    <w:rsid w:val="00B51CDC"/>
    <w:rsid w:val="00B5302C"/>
    <w:rsid w:val="00B6072E"/>
    <w:rsid w:val="00B631D3"/>
    <w:rsid w:val="00B65A49"/>
    <w:rsid w:val="00B76D6A"/>
    <w:rsid w:val="00B76FBB"/>
    <w:rsid w:val="00B804A1"/>
    <w:rsid w:val="00B863E2"/>
    <w:rsid w:val="00B93086"/>
    <w:rsid w:val="00B9622A"/>
    <w:rsid w:val="00BA19ED"/>
    <w:rsid w:val="00BA299D"/>
    <w:rsid w:val="00BA300B"/>
    <w:rsid w:val="00BA4B8D"/>
    <w:rsid w:val="00BA50B0"/>
    <w:rsid w:val="00BA5F68"/>
    <w:rsid w:val="00BA6F99"/>
    <w:rsid w:val="00BC0F7D"/>
    <w:rsid w:val="00BC179E"/>
    <w:rsid w:val="00BC2130"/>
    <w:rsid w:val="00BC227B"/>
    <w:rsid w:val="00BC327A"/>
    <w:rsid w:val="00BC3CE7"/>
    <w:rsid w:val="00BC4BFC"/>
    <w:rsid w:val="00BC6A25"/>
    <w:rsid w:val="00BD5C78"/>
    <w:rsid w:val="00BD7171"/>
    <w:rsid w:val="00BE00A0"/>
    <w:rsid w:val="00BE08EF"/>
    <w:rsid w:val="00BE3255"/>
    <w:rsid w:val="00BE3338"/>
    <w:rsid w:val="00BE4DF0"/>
    <w:rsid w:val="00BF01FB"/>
    <w:rsid w:val="00BF095A"/>
    <w:rsid w:val="00BF128E"/>
    <w:rsid w:val="00BF48F0"/>
    <w:rsid w:val="00BF4C3B"/>
    <w:rsid w:val="00BF692E"/>
    <w:rsid w:val="00C002C5"/>
    <w:rsid w:val="00C010CD"/>
    <w:rsid w:val="00C0292C"/>
    <w:rsid w:val="00C05CE0"/>
    <w:rsid w:val="00C079CE"/>
    <w:rsid w:val="00C1496A"/>
    <w:rsid w:val="00C16008"/>
    <w:rsid w:val="00C161CE"/>
    <w:rsid w:val="00C1711F"/>
    <w:rsid w:val="00C2036A"/>
    <w:rsid w:val="00C27F1B"/>
    <w:rsid w:val="00C32879"/>
    <w:rsid w:val="00C33079"/>
    <w:rsid w:val="00C331E9"/>
    <w:rsid w:val="00C34D05"/>
    <w:rsid w:val="00C358C6"/>
    <w:rsid w:val="00C36480"/>
    <w:rsid w:val="00C40EAD"/>
    <w:rsid w:val="00C45231"/>
    <w:rsid w:val="00C47235"/>
    <w:rsid w:val="00C5093D"/>
    <w:rsid w:val="00C509CE"/>
    <w:rsid w:val="00C53DE8"/>
    <w:rsid w:val="00C54C23"/>
    <w:rsid w:val="00C575E9"/>
    <w:rsid w:val="00C61217"/>
    <w:rsid w:val="00C71DA1"/>
    <w:rsid w:val="00C72833"/>
    <w:rsid w:val="00C734C4"/>
    <w:rsid w:val="00C77CBD"/>
    <w:rsid w:val="00C80F1D"/>
    <w:rsid w:val="00C81197"/>
    <w:rsid w:val="00C811AE"/>
    <w:rsid w:val="00C87227"/>
    <w:rsid w:val="00C90E0A"/>
    <w:rsid w:val="00C91F36"/>
    <w:rsid w:val="00C92A14"/>
    <w:rsid w:val="00C92B00"/>
    <w:rsid w:val="00C93F40"/>
    <w:rsid w:val="00C95BC2"/>
    <w:rsid w:val="00CA3D0C"/>
    <w:rsid w:val="00CA4213"/>
    <w:rsid w:val="00CA4B04"/>
    <w:rsid w:val="00CB0817"/>
    <w:rsid w:val="00CB45A1"/>
    <w:rsid w:val="00CB69DE"/>
    <w:rsid w:val="00CB7AD0"/>
    <w:rsid w:val="00CC0028"/>
    <w:rsid w:val="00CC5BE3"/>
    <w:rsid w:val="00CD5CF4"/>
    <w:rsid w:val="00CD6B3B"/>
    <w:rsid w:val="00CE0B91"/>
    <w:rsid w:val="00CE103C"/>
    <w:rsid w:val="00CE1B41"/>
    <w:rsid w:val="00CE2F48"/>
    <w:rsid w:val="00CE6DD7"/>
    <w:rsid w:val="00CF20E3"/>
    <w:rsid w:val="00CF3841"/>
    <w:rsid w:val="00CF65B5"/>
    <w:rsid w:val="00D00BA3"/>
    <w:rsid w:val="00D05C22"/>
    <w:rsid w:val="00D1495D"/>
    <w:rsid w:val="00D22803"/>
    <w:rsid w:val="00D238B2"/>
    <w:rsid w:val="00D23F96"/>
    <w:rsid w:val="00D2683C"/>
    <w:rsid w:val="00D309CC"/>
    <w:rsid w:val="00D41B07"/>
    <w:rsid w:val="00D41D01"/>
    <w:rsid w:val="00D44E68"/>
    <w:rsid w:val="00D4587A"/>
    <w:rsid w:val="00D463D6"/>
    <w:rsid w:val="00D46431"/>
    <w:rsid w:val="00D530B5"/>
    <w:rsid w:val="00D56A52"/>
    <w:rsid w:val="00D57972"/>
    <w:rsid w:val="00D603CA"/>
    <w:rsid w:val="00D6215B"/>
    <w:rsid w:val="00D653C6"/>
    <w:rsid w:val="00D663A3"/>
    <w:rsid w:val="00D675A9"/>
    <w:rsid w:val="00D738D6"/>
    <w:rsid w:val="00D73D64"/>
    <w:rsid w:val="00D74B53"/>
    <w:rsid w:val="00D74E7B"/>
    <w:rsid w:val="00D755EB"/>
    <w:rsid w:val="00D80235"/>
    <w:rsid w:val="00D81B4C"/>
    <w:rsid w:val="00D84D58"/>
    <w:rsid w:val="00D8507E"/>
    <w:rsid w:val="00D85CA0"/>
    <w:rsid w:val="00D87E00"/>
    <w:rsid w:val="00D90060"/>
    <w:rsid w:val="00D9134D"/>
    <w:rsid w:val="00D92E1E"/>
    <w:rsid w:val="00D97761"/>
    <w:rsid w:val="00DA0100"/>
    <w:rsid w:val="00DA6CFD"/>
    <w:rsid w:val="00DA7A03"/>
    <w:rsid w:val="00DB06CF"/>
    <w:rsid w:val="00DB1818"/>
    <w:rsid w:val="00DB31F8"/>
    <w:rsid w:val="00DB4052"/>
    <w:rsid w:val="00DB79F7"/>
    <w:rsid w:val="00DC309B"/>
    <w:rsid w:val="00DC353B"/>
    <w:rsid w:val="00DC4DA2"/>
    <w:rsid w:val="00DD07AA"/>
    <w:rsid w:val="00DD225E"/>
    <w:rsid w:val="00DD4C17"/>
    <w:rsid w:val="00DD4D52"/>
    <w:rsid w:val="00DD4DC5"/>
    <w:rsid w:val="00DE0507"/>
    <w:rsid w:val="00DE088F"/>
    <w:rsid w:val="00DE36EA"/>
    <w:rsid w:val="00DE55C3"/>
    <w:rsid w:val="00DF19EA"/>
    <w:rsid w:val="00DF2B1F"/>
    <w:rsid w:val="00DF6189"/>
    <w:rsid w:val="00DF62CD"/>
    <w:rsid w:val="00DF6424"/>
    <w:rsid w:val="00E02732"/>
    <w:rsid w:val="00E030A1"/>
    <w:rsid w:val="00E06316"/>
    <w:rsid w:val="00E0765D"/>
    <w:rsid w:val="00E13F78"/>
    <w:rsid w:val="00E16509"/>
    <w:rsid w:val="00E2376C"/>
    <w:rsid w:val="00E2413E"/>
    <w:rsid w:val="00E26566"/>
    <w:rsid w:val="00E35B70"/>
    <w:rsid w:val="00E35C6C"/>
    <w:rsid w:val="00E3687A"/>
    <w:rsid w:val="00E40AE6"/>
    <w:rsid w:val="00E40E1C"/>
    <w:rsid w:val="00E427F6"/>
    <w:rsid w:val="00E43286"/>
    <w:rsid w:val="00E44582"/>
    <w:rsid w:val="00E471F4"/>
    <w:rsid w:val="00E52814"/>
    <w:rsid w:val="00E54997"/>
    <w:rsid w:val="00E54B95"/>
    <w:rsid w:val="00E63CD1"/>
    <w:rsid w:val="00E64596"/>
    <w:rsid w:val="00E720AE"/>
    <w:rsid w:val="00E72324"/>
    <w:rsid w:val="00E725DD"/>
    <w:rsid w:val="00E72ABE"/>
    <w:rsid w:val="00E73578"/>
    <w:rsid w:val="00E7375C"/>
    <w:rsid w:val="00E74333"/>
    <w:rsid w:val="00E74C34"/>
    <w:rsid w:val="00E77645"/>
    <w:rsid w:val="00E80040"/>
    <w:rsid w:val="00E80AA5"/>
    <w:rsid w:val="00E9055C"/>
    <w:rsid w:val="00E963F7"/>
    <w:rsid w:val="00EA089E"/>
    <w:rsid w:val="00EA0E17"/>
    <w:rsid w:val="00EA73AA"/>
    <w:rsid w:val="00EB1575"/>
    <w:rsid w:val="00EB30C2"/>
    <w:rsid w:val="00EC4847"/>
    <w:rsid w:val="00EC4A25"/>
    <w:rsid w:val="00EC4F16"/>
    <w:rsid w:val="00EC55DC"/>
    <w:rsid w:val="00EC5825"/>
    <w:rsid w:val="00EC7246"/>
    <w:rsid w:val="00EC7E08"/>
    <w:rsid w:val="00EE5AA7"/>
    <w:rsid w:val="00EE7844"/>
    <w:rsid w:val="00EF38FF"/>
    <w:rsid w:val="00EF70F3"/>
    <w:rsid w:val="00F01AE1"/>
    <w:rsid w:val="00F025A2"/>
    <w:rsid w:val="00F04712"/>
    <w:rsid w:val="00F067CC"/>
    <w:rsid w:val="00F06F13"/>
    <w:rsid w:val="00F10C13"/>
    <w:rsid w:val="00F15570"/>
    <w:rsid w:val="00F169CF"/>
    <w:rsid w:val="00F21311"/>
    <w:rsid w:val="00F22EC7"/>
    <w:rsid w:val="00F26A01"/>
    <w:rsid w:val="00F32507"/>
    <w:rsid w:val="00F325C8"/>
    <w:rsid w:val="00F3347C"/>
    <w:rsid w:val="00F35A8C"/>
    <w:rsid w:val="00F40D1D"/>
    <w:rsid w:val="00F47A34"/>
    <w:rsid w:val="00F51ECA"/>
    <w:rsid w:val="00F54BE6"/>
    <w:rsid w:val="00F565B6"/>
    <w:rsid w:val="00F60851"/>
    <w:rsid w:val="00F62AEB"/>
    <w:rsid w:val="00F653B8"/>
    <w:rsid w:val="00F70647"/>
    <w:rsid w:val="00F72543"/>
    <w:rsid w:val="00F72F4F"/>
    <w:rsid w:val="00F7495C"/>
    <w:rsid w:val="00F80F5C"/>
    <w:rsid w:val="00F849C6"/>
    <w:rsid w:val="00F87D29"/>
    <w:rsid w:val="00F90B00"/>
    <w:rsid w:val="00F92945"/>
    <w:rsid w:val="00FA1266"/>
    <w:rsid w:val="00FA29A4"/>
    <w:rsid w:val="00FA3A4C"/>
    <w:rsid w:val="00FA5E13"/>
    <w:rsid w:val="00FA631A"/>
    <w:rsid w:val="00FB28DC"/>
    <w:rsid w:val="00FB645D"/>
    <w:rsid w:val="00FC1192"/>
    <w:rsid w:val="00FC2387"/>
    <w:rsid w:val="00FC596E"/>
    <w:rsid w:val="00FD2950"/>
    <w:rsid w:val="00FD362E"/>
    <w:rsid w:val="00FD63FE"/>
    <w:rsid w:val="00FD67F0"/>
    <w:rsid w:val="00FD72EF"/>
    <w:rsid w:val="00FF17F2"/>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4BC5A32A-A92E-5446-A881-BAEA7E7E4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313C"/>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link w:val="ListParagraphChar"/>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A5177F"/>
    <w:pPr>
      <w:spacing w:before="100" w:beforeAutospacing="1" w:after="100" w:afterAutospacing="1"/>
    </w:pPr>
  </w:style>
  <w:style w:type="character" w:customStyle="1" w:styleId="ListParagraphChar">
    <w:name w:val="List Paragraph Char"/>
    <w:link w:val="ListParagraph"/>
    <w:uiPriority w:val="34"/>
    <w:qFormat/>
    <w:locked/>
    <w:rsid w:val="00A95DCB"/>
    <w:rPr>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57077">
      <w:bodyDiv w:val="1"/>
      <w:marLeft w:val="0"/>
      <w:marRight w:val="0"/>
      <w:marTop w:val="0"/>
      <w:marBottom w:val="0"/>
      <w:divBdr>
        <w:top w:val="none" w:sz="0" w:space="0" w:color="auto"/>
        <w:left w:val="none" w:sz="0" w:space="0" w:color="auto"/>
        <w:bottom w:val="none" w:sz="0" w:space="0" w:color="auto"/>
        <w:right w:val="none" w:sz="0" w:space="0" w:color="auto"/>
      </w:divBdr>
      <w:divsChild>
        <w:div w:id="977421647">
          <w:marLeft w:val="0"/>
          <w:marRight w:val="0"/>
          <w:marTop w:val="0"/>
          <w:marBottom w:val="0"/>
          <w:divBdr>
            <w:top w:val="none" w:sz="0" w:space="0" w:color="auto"/>
            <w:left w:val="none" w:sz="0" w:space="0" w:color="auto"/>
            <w:bottom w:val="none" w:sz="0" w:space="0" w:color="auto"/>
            <w:right w:val="none" w:sz="0" w:space="0" w:color="auto"/>
          </w:divBdr>
          <w:divsChild>
            <w:div w:id="1365524142">
              <w:marLeft w:val="0"/>
              <w:marRight w:val="0"/>
              <w:marTop w:val="0"/>
              <w:marBottom w:val="0"/>
              <w:divBdr>
                <w:top w:val="none" w:sz="0" w:space="0" w:color="auto"/>
                <w:left w:val="none" w:sz="0" w:space="0" w:color="auto"/>
                <w:bottom w:val="none" w:sz="0" w:space="0" w:color="auto"/>
                <w:right w:val="none" w:sz="0" w:space="0" w:color="auto"/>
              </w:divBdr>
              <w:divsChild>
                <w:div w:id="634484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174274191">
      <w:bodyDiv w:val="1"/>
      <w:marLeft w:val="0"/>
      <w:marRight w:val="0"/>
      <w:marTop w:val="0"/>
      <w:marBottom w:val="0"/>
      <w:divBdr>
        <w:top w:val="none" w:sz="0" w:space="0" w:color="auto"/>
        <w:left w:val="none" w:sz="0" w:space="0" w:color="auto"/>
        <w:bottom w:val="none" w:sz="0" w:space="0" w:color="auto"/>
        <w:right w:val="none" w:sz="0" w:space="0" w:color="auto"/>
      </w:divBdr>
      <w:divsChild>
        <w:div w:id="1232035450">
          <w:marLeft w:val="0"/>
          <w:marRight w:val="0"/>
          <w:marTop w:val="0"/>
          <w:marBottom w:val="0"/>
          <w:divBdr>
            <w:top w:val="none" w:sz="0" w:space="0" w:color="auto"/>
            <w:left w:val="none" w:sz="0" w:space="0" w:color="auto"/>
            <w:bottom w:val="none" w:sz="0" w:space="0" w:color="auto"/>
            <w:right w:val="none" w:sz="0" w:space="0" w:color="auto"/>
          </w:divBdr>
          <w:divsChild>
            <w:div w:id="1986855271">
              <w:marLeft w:val="0"/>
              <w:marRight w:val="0"/>
              <w:marTop w:val="0"/>
              <w:marBottom w:val="0"/>
              <w:divBdr>
                <w:top w:val="none" w:sz="0" w:space="0" w:color="auto"/>
                <w:left w:val="none" w:sz="0" w:space="0" w:color="auto"/>
                <w:bottom w:val="none" w:sz="0" w:space="0" w:color="auto"/>
                <w:right w:val="none" w:sz="0" w:space="0" w:color="auto"/>
              </w:divBdr>
              <w:divsChild>
                <w:div w:id="910121243">
                  <w:marLeft w:val="0"/>
                  <w:marRight w:val="0"/>
                  <w:marTop w:val="0"/>
                  <w:marBottom w:val="0"/>
                  <w:divBdr>
                    <w:top w:val="none" w:sz="0" w:space="0" w:color="auto"/>
                    <w:left w:val="none" w:sz="0" w:space="0" w:color="auto"/>
                    <w:bottom w:val="none" w:sz="0" w:space="0" w:color="auto"/>
                    <w:right w:val="none" w:sz="0" w:space="0" w:color="auto"/>
                  </w:divBdr>
                </w:div>
                <w:div w:id="2006275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41917211">
      <w:bodyDiv w:val="1"/>
      <w:marLeft w:val="0"/>
      <w:marRight w:val="0"/>
      <w:marTop w:val="0"/>
      <w:marBottom w:val="0"/>
      <w:divBdr>
        <w:top w:val="none" w:sz="0" w:space="0" w:color="auto"/>
        <w:left w:val="none" w:sz="0" w:space="0" w:color="auto"/>
        <w:bottom w:val="none" w:sz="0" w:space="0" w:color="auto"/>
        <w:right w:val="none" w:sz="0" w:space="0" w:color="auto"/>
      </w:divBdr>
      <w:divsChild>
        <w:div w:id="88159146">
          <w:marLeft w:val="0"/>
          <w:marRight w:val="0"/>
          <w:marTop w:val="0"/>
          <w:marBottom w:val="0"/>
          <w:divBdr>
            <w:top w:val="none" w:sz="0" w:space="0" w:color="auto"/>
            <w:left w:val="none" w:sz="0" w:space="0" w:color="auto"/>
            <w:bottom w:val="none" w:sz="0" w:space="0" w:color="auto"/>
            <w:right w:val="none" w:sz="0" w:space="0" w:color="auto"/>
          </w:divBdr>
          <w:divsChild>
            <w:div w:id="576014905">
              <w:marLeft w:val="0"/>
              <w:marRight w:val="0"/>
              <w:marTop w:val="0"/>
              <w:marBottom w:val="0"/>
              <w:divBdr>
                <w:top w:val="none" w:sz="0" w:space="0" w:color="auto"/>
                <w:left w:val="none" w:sz="0" w:space="0" w:color="auto"/>
                <w:bottom w:val="none" w:sz="0" w:space="0" w:color="auto"/>
                <w:right w:val="none" w:sz="0" w:space="0" w:color="auto"/>
              </w:divBdr>
              <w:divsChild>
                <w:div w:id="153956957">
                  <w:marLeft w:val="0"/>
                  <w:marRight w:val="0"/>
                  <w:marTop w:val="0"/>
                  <w:marBottom w:val="0"/>
                  <w:divBdr>
                    <w:top w:val="none" w:sz="0" w:space="0" w:color="auto"/>
                    <w:left w:val="none" w:sz="0" w:space="0" w:color="auto"/>
                    <w:bottom w:val="none" w:sz="0" w:space="0" w:color="auto"/>
                    <w:right w:val="none" w:sz="0" w:space="0" w:color="auto"/>
                  </w:divBdr>
                  <w:divsChild>
                    <w:div w:id="670835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27013041">
      <w:bodyDiv w:val="1"/>
      <w:marLeft w:val="0"/>
      <w:marRight w:val="0"/>
      <w:marTop w:val="0"/>
      <w:marBottom w:val="0"/>
      <w:divBdr>
        <w:top w:val="none" w:sz="0" w:space="0" w:color="auto"/>
        <w:left w:val="none" w:sz="0" w:space="0" w:color="auto"/>
        <w:bottom w:val="none" w:sz="0" w:space="0" w:color="auto"/>
        <w:right w:val="none" w:sz="0" w:space="0" w:color="auto"/>
      </w:divBdr>
      <w:divsChild>
        <w:div w:id="380595238">
          <w:marLeft w:val="0"/>
          <w:marRight w:val="0"/>
          <w:marTop w:val="0"/>
          <w:marBottom w:val="0"/>
          <w:divBdr>
            <w:top w:val="none" w:sz="0" w:space="0" w:color="auto"/>
            <w:left w:val="none" w:sz="0" w:space="0" w:color="auto"/>
            <w:bottom w:val="none" w:sz="0" w:space="0" w:color="auto"/>
            <w:right w:val="none" w:sz="0" w:space="0" w:color="auto"/>
          </w:divBdr>
          <w:divsChild>
            <w:div w:id="1516924476">
              <w:marLeft w:val="0"/>
              <w:marRight w:val="0"/>
              <w:marTop w:val="0"/>
              <w:marBottom w:val="0"/>
              <w:divBdr>
                <w:top w:val="none" w:sz="0" w:space="0" w:color="auto"/>
                <w:left w:val="none" w:sz="0" w:space="0" w:color="auto"/>
                <w:bottom w:val="none" w:sz="0" w:space="0" w:color="auto"/>
                <w:right w:val="none" w:sz="0" w:space="0" w:color="auto"/>
              </w:divBdr>
              <w:divsChild>
                <w:div w:id="21681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097286177">
      <w:bodyDiv w:val="1"/>
      <w:marLeft w:val="0"/>
      <w:marRight w:val="0"/>
      <w:marTop w:val="0"/>
      <w:marBottom w:val="0"/>
      <w:divBdr>
        <w:top w:val="none" w:sz="0" w:space="0" w:color="auto"/>
        <w:left w:val="none" w:sz="0" w:space="0" w:color="auto"/>
        <w:bottom w:val="none" w:sz="0" w:space="0" w:color="auto"/>
        <w:right w:val="none" w:sz="0" w:space="0" w:color="auto"/>
      </w:divBdr>
      <w:divsChild>
        <w:div w:id="1272007063">
          <w:marLeft w:val="0"/>
          <w:marRight w:val="0"/>
          <w:marTop w:val="0"/>
          <w:marBottom w:val="0"/>
          <w:divBdr>
            <w:top w:val="none" w:sz="0" w:space="0" w:color="auto"/>
            <w:left w:val="none" w:sz="0" w:space="0" w:color="auto"/>
            <w:bottom w:val="none" w:sz="0" w:space="0" w:color="auto"/>
            <w:right w:val="none" w:sz="0" w:space="0" w:color="auto"/>
          </w:divBdr>
          <w:divsChild>
            <w:div w:id="1511067918">
              <w:marLeft w:val="0"/>
              <w:marRight w:val="0"/>
              <w:marTop w:val="0"/>
              <w:marBottom w:val="0"/>
              <w:divBdr>
                <w:top w:val="none" w:sz="0" w:space="0" w:color="auto"/>
                <w:left w:val="none" w:sz="0" w:space="0" w:color="auto"/>
                <w:bottom w:val="none" w:sz="0" w:space="0" w:color="auto"/>
                <w:right w:val="none" w:sz="0" w:space="0" w:color="auto"/>
              </w:divBdr>
              <w:divsChild>
                <w:div w:id="211736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1415294">
      <w:bodyDiv w:val="1"/>
      <w:marLeft w:val="0"/>
      <w:marRight w:val="0"/>
      <w:marTop w:val="0"/>
      <w:marBottom w:val="0"/>
      <w:divBdr>
        <w:top w:val="none" w:sz="0" w:space="0" w:color="auto"/>
        <w:left w:val="none" w:sz="0" w:space="0" w:color="auto"/>
        <w:bottom w:val="none" w:sz="0" w:space="0" w:color="auto"/>
        <w:right w:val="none" w:sz="0" w:space="0" w:color="auto"/>
      </w:divBdr>
      <w:divsChild>
        <w:div w:id="344092114">
          <w:marLeft w:val="0"/>
          <w:marRight w:val="0"/>
          <w:marTop w:val="0"/>
          <w:marBottom w:val="0"/>
          <w:divBdr>
            <w:top w:val="none" w:sz="0" w:space="0" w:color="auto"/>
            <w:left w:val="none" w:sz="0" w:space="0" w:color="auto"/>
            <w:bottom w:val="none" w:sz="0" w:space="0" w:color="auto"/>
            <w:right w:val="none" w:sz="0" w:space="0" w:color="auto"/>
          </w:divBdr>
          <w:divsChild>
            <w:div w:id="354355271">
              <w:marLeft w:val="0"/>
              <w:marRight w:val="0"/>
              <w:marTop w:val="0"/>
              <w:marBottom w:val="0"/>
              <w:divBdr>
                <w:top w:val="none" w:sz="0" w:space="0" w:color="auto"/>
                <w:left w:val="none" w:sz="0" w:space="0" w:color="auto"/>
                <w:bottom w:val="none" w:sz="0" w:space="0" w:color="auto"/>
                <w:right w:val="none" w:sz="0" w:space="0" w:color="auto"/>
              </w:divBdr>
              <w:divsChild>
                <w:div w:id="867763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52674394">
      <w:bodyDiv w:val="1"/>
      <w:marLeft w:val="0"/>
      <w:marRight w:val="0"/>
      <w:marTop w:val="0"/>
      <w:marBottom w:val="0"/>
      <w:divBdr>
        <w:top w:val="none" w:sz="0" w:space="0" w:color="auto"/>
        <w:left w:val="none" w:sz="0" w:space="0" w:color="auto"/>
        <w:bottom w:val="none" w:sz="0" w:space="0" w:color="auto"/>
        <w:right w:val="none" w:sz="0" w:space="0" w:color="auto"/>
      </w:divBdr>
      <w:divsChild>
        <w:div w:id="132984397">
          <w:marLeft w:val="0"/>
          <w:marRight w:val="0"/>
          <w:marTop w:val="0"/>
          <w:marBottom w:val="0"/>
          <w:divBdr>
            <w:top w:val="none" w:sz="0" w:space="0" w:color="auto"/>
            <w:left w:val="none" w:sz="0" w:space="0" w:color="auto"/>
            <w:bottom w:val="none" w:sz="0" w:space="0" w:color="auto"/>
            <w:right w:val="none" w:sz="0" w:space="0" w:color="auto"/>
          </w:divBdr>
          <w:divsChild>
            <w:div w:id="337080234">
              <w:marLeft w:val="0"/>
              <w:marRight w:val="0"/>
              <w:marTop w:val="0"/>
              <w:marBottom w:val="0"/>
              <w:divBdr>
                <w:top w:val="none" w:sz="0" w:space="0" w:color="auto"/>
                <w:left w:val="none" w:sz="0" w:space="0" w:color="auto"/>
                <w:bottom w:val="none" w:sz="0" w:space="0" w:color="auto"/>
                <w:right w:val="none" w:sz="0" w:space="0" w:color="auto"/>
              </w:divBdr>
              <w:divsChild>
                <w:div w:id="864513849">
                  <w:marLeft w:val="0"/>
                  <w:marRight w:val="0"/>
                  <w:marTop w:val="0"/>
                  <w:marBottom w:val="0"/>
                  <w:divBdr>
                    <w:top w:val="none" w:sz="0" w:space="0" w:color="auto"/>
                    <w:left w:val="none" w:sz="0" w:space="0" w:color="auto"/>
                    <w:bottom w:val="none" w:sz="0" w:space="0" w:color="auto"/>
                    <w:right w:val="none" w:sz="0" w:space="0" w:color="auto"/>
                  </w:divBdr>
                  <w:divsChild>
                    <w:div w:id="1275013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15432783">
      <w:bodyDiv w:val="1"/>
      <w:marLeft w:val="0"/>
      <w:marRight w:val="0"/>
      <w:marTop w:val="0"/>
      <w:marBottom w:val="0"/>
      <w:divBdr>
        <w:top w:val="none" w:sz="0" w:space="0" w:color="auto"/>
        <w:left w:val="none" w:sz="0" w:space="0" w:color="auto"/>
        <w:bottom w:val="none" w:sz="0" w:space="0" w:color="auto"/>
        <w:right w:val="none" w:sz="0" w:space="0" w:color="auto"/>
      </w:divBdr>
      <w:divsChild>
        <w:div w:id="1497113601">
          <w:marLeft w:val="0"/>
          <w:marRight w:val="0"/>
          <w:marTop w:val="0"/>
          <w:marBottom w:val="0"/>
          <w:divBdr>
            <w:top w:val="none" w:sz="0" w:space="0" w:color="auto"/>
            <w:left w:val="none" w:sz="0" w:space="0" w:color="auto"/>
            <w:bottom w:val="none" w:sz="0" w:space="0" w:color="auto"/>
            <w:right w:val="none" w:sz="0" w:space="0" w:color="auto"/>
          </w:divBdr>
          <w:divsChild>
            <w:div w:id="900141723">
              <w:marLeft w:val="0"/>
              <w:marRight w:val="0"/>
              <w:marTop w:val="0"/>
              <w:marBottom w:val="0"/>
              <w:divBdr>
                <w:top w:val="none" w:sz="0" w:space="0" w:color="auto"/>
                <w:left w:val="none" w:sz="0" w:space="0" w:color="auto"/>
                <w:bottom w:val="none" w:sz="0" w:space="0" w:color="auto"/>
                <w:right w:val="none" w:sz="0" w:space="0" w:color="auto"/>
              </w:divBdr>
              <w:divsChild>
                <w:div w:id="349723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51350016">
      <w:bodyDiv w:val="1"/>
      <w:marLeft w:val="0"/>
      <w:marRight w:val="0"/>
      <w:marTop w:val="0"/>
      <w:marBottom w:val="0"/>
      <w:divBdr>
        <w:top w:val="none" w:sz="0" w:space="0" w:color="auto"/>
        <w:left w:val="none" w:sz="0" w:space="0" w:color="auto"/>
        <w:bottom w:val="none" w:sz="0" w:space="0" w:color="auto"/>
        <w:right w:val="none" w:sz="0" w:space="0" w:color="auto"/>
      </w:divBdr>
      <w:divsChild>
        <w:div w:id="307979113">
          <w:marLeft w:val="0"/>
          <w:marRight w:val="0"/>
          <w:marTop w:val="0"/>
          <w:marBottom w:val="0"/>
          <w:divBdr>
            <w:top w:val="none" w:sz="0" w:space="0" w:color="auto"/>
            <w:left w:val="none" w:sz="0" w:space="0" w:color="auto"/>
            <w:bottom w:val="none" w:sz="0" w:space="0" w:color="auto"/>
            <w:right w:val="none" w:sz="0" w:space="0" w:color="auto"/>
          </w:divBdr>
          <w:divsChild>
            <w:div w:id="1229224425">
              <w:marLeft w:val="0"/>
              <w:marRight w:val="0"/>
              <w:marTop w:val="0"/>
              <w:marBottom w:val="0"/>
              <w:divBdr>
                <w:top w:val="none" w:sz="0" w:space="0" w:color="auto"/>
                <w:left w:val="none" w:sz="0" w:space="0" w:color="auto"/>
                <w:bottom w:val="none" w:sz="0" w:space="0" w:color="auto"/>
                <w:right w:val="none" w:sz="0" w:space="0" w:color="auto"/>
              </w:divBdr>
              <w:divsChild>
                <w:div w:id="834950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0428047">
      <w:bodyDiv w:val="1"/>
      <w:marLeft w:val="0"/>
      <w:marRight w:val="0"/>
      <w:marTop w:val="0"/>
      <w:marBottom w:val="0"/>
      <w:divBdr>
        <w:top w:val="none" w:sz="0" w:space="0" w:color="auto"/>
        <w:left w:val="none" w:sz="0" w:space="0" w:color="auto"/>
        <w:bottom w:val="none" w:sz="0" w:space="0" w:color="auto"/>
        <w:right w:val="none" w:sz="0" w:space="0" w:color="auto"/>
      </w:divBdr>
      <w:divsChild>
        <w:div w:id="57292993">
          <w:marLeft w:val="0"/>
          <w:marRight w:val="0"/>
          <w:marTop w:val="0"/>
          <w:marBottom w:val="0"/>
          <w:divBdr>
            <w:top w:val="none" w:sz="0" w:space="0" w:color="auto"/>
            <w:left w:val="none" w:sz="0" w:space="0" w:color="auto"/>
            <w:bottom w:val="none" w:sz="0" w:space="0" w:color="auto"/>
            <w:right w:val="none" w:sz="0" w:space="0" w:color="auto"/>
          </w:divBdr>
          <w:divsChild>
            <w:div w:id="1046755385">
              <w:marLeft w:val="0"/>
              <w:marRight w:val="0"/>
              <w:marTop w:val="0"/>
              <w:marBottom w:val="0"/>
              <w:divBdr>
                <w:top w:val="none" w:sz="0" w:space="0" w:color="auto"/>
                <w:left w:val="none" w:sz="0" w:space="0" w:color="auto"/>
                <w:bottom w:val="none" w:sz="0" w:space="0" w:color="auto"/>
                <w:right w:val="none" w:sz="0" w:space="0" w:color="auto"/>
              </w:divBdr>
              <w:divsChild>
                <w:div w:id="1942104298">
                  <w:marLeft w:val="0"/>
                  <w:marRight w:val="0"/>
                  <w:marTop w:val="0"/>
                  <w:marBottom w:val="0"/>
                  <w:divBdr>
                    <w:top w:val="none" w:sz="0" w:space="0" w:color="auto"/>
                    <w:left w:val="none" w:sz="0" w:space="0" w:color="auto"/>
                    <w:bottom w:val="none" w:sz="0" w:space="0" w:color="auto"/>
                    <w:right w:val="none" w:sz="0" w:space="0" w:color="auto"/>
                  </w:divBdr>
                  <w:divsChild>
                    <w:div w:id="61671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00349232">
      <w:bodyDiv w:val="1"/>
      <w:marLeft w:val="0"/>
      <w:marRight w:val="0"/>
      <w:marTop w:val="0"/>
      <w:marBottom w:val="0"/>
      <w:divBdr>
        <w:top w:val="none" w:sz="0" w:space="0" w:color="auto"/>
        <w:left w:val="none" w:sz="0" w:space="0" w:color="auto"/>
        <w:bottom w:val="none" w:sz="0" w:space="0" w:color="auto"/>
        <w:right w:val="none" w:sz="0" w:space="0" w:color="auto"/>
      </w:divBdr>
      <w:divsChild>
        <w:div w:id="841818610">
          <w:marLeft w:val="0"/>
          <w:marRight w:val="0"/>
          <w:marTop w:val="0"/>
          <w:marBottom w:val="0"/>
          <w:divBdr>
            <w:top w:val="none" w:sz="0" w:space="0" w:color="auto"/>
            <w:left w:val="none" w:sz="0" w:space="0" w:color="auto"/>
            <w:bottom w:val="none" w:sz="0" w:space="0" w:color="auto"/>
            <w:right w:val="none" w:sz="0" w:space="0" w:color="auto"/>
          </w:divBdr>
          <w:divsChild>
            <w:div w:id="266819111">
              <w:marLeft w:val="0"/>
              <w:marRight w:val="0"/>
              <w:marTop w:val="0"/>
              <w:marBottom w:val="0"/>
              <w:divBdr>
                <w:top w:val="none" w:sz="0" w:space="0" w:color="auto"/>
                <w:left w:val="none" w:sz="0" w:space="0" w:color="auto"/>
                <w:bottom w:val="none" w:sz="0" w:space="0" w:color="auto"/>
                <w:right w:val="none" w:sz="0" w:space="0" w:color="auto"/>
              </w:divBdr>
              <w:divsChild>
                <w:div w:id="104702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63978868">
      <w:bodyDiv w:val="1"/>
      <w:marLeft w:val="0"/>
      <w:marRight w:val="0"/>
      <w:marTop w:val="0"/>
      <w:marBottom w:val="0"/>
      <w:divBdr>
        <w:top w:val="none" w:sz="0" w:space="0" w:color="auto"/>
        <w:left w:val="none" w:sz="0" w:space="0" w:color="auto"/>
        <w:bottom w:val="none" w:sz="0" w:space="0" w:color="auto"/>
        <w:right w:val="none" w:sz="0" w:space="0" w:color="auto"/>
      </w:divBdr>
      <w:divsChild>
        <w:div w:id="1196893169">
          <w:marLeft w:val="0"/>
          <w:marRight w:val="0"/>
          <w:marTop w:val="0"/>
          <w:marBottom w:val="0"/>
          <w:divBdr>
            <w:top w:val="none" w:sz="0" w:space="0" w:color="auto"/>
            <w:left w:val="none" w:sz="0" w:space="0" w:color="auto"/>
            <w:bottom w:val="none" w:sz="0" w:space="0" w:color="auto"/>
            <w:right w:val="none" w:sz="0" w:space="0" w:color="auto"/>
          </w:divBdr>
          <w:divsChild>
            <w:div w:id="982395875">
              <w:marLeft w:val="0"/>
              <w:marRight w:val="0"/>
              <w:marTop w:val="0"/>
              <w:marBottom w:val="0"/>
              <w:divBdr>
                <w:top w:val="none" w:sz="0" w:space="0" w:color="auto"/>
                <w:left w:val="none" w:sz="0" w:space="0" w:color="auto"/>
                <w:bottom w:val="none" w:sz="0" w:space="0" w:color="auto"/>
                <w:right w:val="none" w:sz="0" w:space="0" w:color="auto"/>
              </w:divBdr>
              <w:divsChild>
                <w:div w:id="719785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8181487">
      <w:bodyDiv w:val="1"/>
      <w:marLeft w:val="0"/>
      <w:marRight w:val="0"/>
      <w:marTop w:val="0"/>
      <w:marBottom w:val="0"/>
      <w:divBdr>
        <w:top w:val="none" w:sz="0" w:space="0" w:color="auto"/>
        <w:left w:val="none" w:sz="0" w:space="0" w:color="auto"/>
        <w:bottom w:val="none" w:sz="0" w:space="0" w:color="auto"/>
        <w:right w:val="none" w:sz="0" w:space="0" w:color="auto"/>
      </w:divBdr>
      <w:divsChild>
        <w:div w:id="243689235">
          <w:marLeft w:val="0"/>
          <w:marRight w:val="0"/>
          <w:marTop w:val="0"/>
          <w:marBottom w:val="0"/>
          <w:divBdr>
            <w:top w:val="none" w:sz="0" w:space="0" w:color="auto"/>
            <w:left w:val="none" w:sz="0" w:space="0" w:color="auto"/>
            <w:bottom w:val="none" w:sz="0" w:space="0" w:color="auto"/>
            <w:right w:val="none" w:sz="0" w:space="0" w:color="auto"/>
          </w:divBdr>
          <w:divsChild>
            <w:div w:id="1062022271">
              <w:marLeft w:val="0"/>
              <w:marRight w:val="0"/>
              <w:marTop w:val="0"/>
              <w:marBottom w:val="0"/>
              <w:divBdr>
                <w:top w:val="none" w:sz="0" w:space="0" w:color="auto"/>
                <w:left w:val="none" w:sz="0" w:space="0" w:color="auto"/>
                <w:bottom w:val="none" w:sz="0" w:space="0" w:color="auto"/>
                <w:right w:val="none" w:sz="0" w:space="0" w:color="auto"/>
              </w:divBdr>
              <w:divsChild>
                <w:div w:id="506676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TotalTime>
  <Pages>4</Pages>
  <Words>1350</Words>
  <Characters>7697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9029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5</cp:revision>
  <cp:lastPrinted>2019-02-25T14:05:00Z</cp:lastPrinted>
  <dcterms:created xsi:type="dcterms:W3CDTF">2022-12-05T03:48:00Z</dcterms:created>
  <dcterms:modified xsi:type="dcterms:W3CDTF">2022-12-05T16:59:00Z</dcterms:modified>
  <cp:category/>
</cp:coreProperties>
</file>